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spacing w:after="120" w:before="240"/>
        <w:contextualSpacing w:val="false"/>
      </w:pPr>
      <w:r>
        <w:rPr>
          <w:b/>
          <w:bCs/>
        </w:rPr>
        <w:t>PROPUESTA DE LA RT SOBRE LOS PLANES DE JUBILACION, VIUDEDAD, ORFANDAD E INVALIDEZ EN IBM SA. – 27 OCTUBRE 2015</w:t>
      </w:r>
    </w:p>
    <w:p>
      <w:pPr>
        <w:pStyle w:val="style0"/>
      </w:pPr>
      <w:r>
        <w:rPr/>
        <w:tab/>
        <w:t xml:space="preserve">1.- Valoración de los derechos </w:t>
      </w:r>
      <w:r>
        <w:rPr/>
        <w:t>devengados</w:t>
      </w:r>
      <w:r>
        <w:rPr/>
        <w:t xml:space="preserve"> por pensiones a 31 de diciembre de 2015.</w:t>
      </w:r>
    </w:p>
    <w:p>
      <w:pPr>
        <w:pStyle w:val="style0"/>
        <w:ind w:hanging="480" w:left="705" w:right="0"/>
      </w:pPr>
      <w:r>
        <w:rPr/>
        <w:tab/>
        <w:t>2.- Implementación de un plan de aportación definida a partir del 1 de enero de 2016, únicamente aplicable para los empleados provenientes del plan alternativo.</w:t>
      </w:r>
    </w:p>
    <w:p>
      <w:pPr>
        <w:pStyle w:val="style0"/>
      </w:pPr>
      <w:r>
        <w:rPr/>
        <w:tab/>
        <w:t>3.- Viudedad, Orfandad e Invalidez a partir del 1 de enero de 2016.</w:t>
      </w:r>
    </w:p>
    <w:p>
      <w:pPr>
        <w:pStyle w:val="style0"/>
      </w:pPr>
      <w:r>
        <w:rPr/>
        <w:tab/>
        <w:t xml:space="preserve">4.- Derechos </w:t>
      </w:r>
      <w:r>
        <w:rPr/>
        <w:t>devengados</w:t>
      </w:r>
      <w:r>
        <w:rPr/>
        <w:t>, valoración a 31 de diciembre de 2015.</w:t>
      </w:r>
    </w:p>
    <w:p>
      <w:pPr>
        <w:pStyle w:val="style0"/>
      </w:pPr>
      <w:r>
        <w:rPr/>
        <w:tab/>
        <w:t>5.- Regularización por la Sentencia del TS sobre pensiones.</w:t>
      </w:r>
    </w:p>
    <w:p>
      <w:pPr>
        <w:pStyle w:val="style0"/>
      </w:pPr>
      <w:r>
        <w:rPr/>
      </w:r>
    </w:p>
    <w:p>
      <w:pPr>
        <w:pStyle w:val="style3"/>
      </w:pPr>
      <w:r>
        <w:rPr>
          <w:b/>
          <w:bCs/>
        </w:rPr>
        <w:t xml:space="preserve">1.- Valoración de los derechos </w:t>
      </w:r>
      <w:r>
        <w:rPr>
          <w:b/>
          <w:bCs/>
        </w:rPr>
        <w:t>devengados</w:t>
      </w:r>
      <w:r>
        <w:rPr>
          <w:b/>
          <w:bCs/>
        </w:rPr>
        <w:t xml:space="preserve"> por pensiones a 31 de diciembre de 2015</w:t>
      </w:r>
    </w:p>
    <w:p>
      <w:pPr>
        <w:pStyle w:val="style0"/>
      </w:pPr>
      <w:r>
        <w:rPr/>
        <w:tab/>
      </w:r>
      <w:r>
        <w:rPr>
          <w:b/>
          <w:bCs/>
        </w:rPr>
        <w:t>a) Empleados que siempre estuvieron en el plan tradicional</w:t>
      </w:r>
    </w:p>
    <w:p>
      <w:pPr>
        <w:pStyle w:val="style0"/>
        <w:jc w:val="both"/>
      </w:pPr>
      <w:r>
        <w:rPr/>
        <w:tab/>
        <w:t>No se verán afectados por este acuerdo, manteniendo sus prestaciones en los términos  actuales establecidos en el Plan de Beneficios Voluntarios, y el acuerdo de derechos adquiridos del año 2002, reconociéndose sus derechos a nivel individual y constituyéndose una póliza de seguros para todas las prestaciones de jubilación, pensión suplida, convenio especial y pensión IBM a partir de los 60 años.</w:t>
      </w:r>
    </w:p>
    <w:p>
      <w:pPr>
        <w:pStyle w:val="style0"/>
        <w:jc w:val="both"/>
      </w:pPr>
      <w:r>
        <w:rPr/>
        <w:tab/>
        <w:t xml:space="preserve">Igualmente mantendrán el resto de prestaciones establecidas en el Plan de </w:t>
        <w:br/>
        <w:t>Beneficios Voluntarios, en concepto de viudedad, orfandad e invalidez.</w:t>
      </w:r>
    </w:p>
    <w:p>
      <w:pPr>
        <w:pStyle w:val="style0"/>
      </w:pPr>
      <w:r>
        <w:rPr/>
      </w:r>
    </w:p>
    <w:p>
      <w:pPr>
        <w:pStyle w:val="style0"/>
      </w:pPr>
      <w:r>
        <w:rPr/>
        <w:tab/>
      </w:r>
      <w:r>
        <w:rPr>
          <w:b/>
          <w:bCs/>
        </w:rPr>
        <w:t>b) Empleados provenientes del plan alternativo.</w:t>
      </w:r>
    </w:p>
    <w:p>
      <w:pPr>
        <w:pStyle w:val="style0"/>
        <w:jc w:val="both"/>
      </w:pPr>
      <w:r>
        <w:rPr/>
        <w:tab/>
      </w:r>
      <w:r>
        <w:rPr>
          <w:b w:val="false"/>
          <w:bCs w:val="false"/>
        </w:rPr>
        <w:t xml:space="preserve">Se valorarán sus derechos </w:t>
      </w:r>
      <w:r>
        <w:rPr>
          <w:b w:val="false"/>
          <w:bCs w:val="false"/>
        </w:rPr>
        <w:t>devengados</w:t>
      </w:r>
      <w:r>
        <w:rPr>
          <w:b w:val="false"/>
          <w:bCs w:val="false"/>
        </w:rPr>
        <w:t xml:space="preserve"> a 31 de diciembre de 2015 con arreglo a los siguientes apartados.</w:t>
      </w:r>
    </w:p>
    <w:p>
      <w:pPr>
        <w:pStyle w:val="style0"/>
        <w:ind w:hanging="0" w:left="708" w:right="0"/>
      </w:pPr>
      <w:r>
        <w:rPr/>
      </w:r>
    </w:p>
    <w:p>
      <w:pPr>
        <w:pStyle w:val="style0"/>
        <w:numPr>
          <w:ilvl w:val="0"/>
          <w:numId w:val="1"/>
        </w:numPr>
        <w:jc w:val="both"/>
      </w:pPr>
      <w:r>
        <w:rPr>
          <w:b/>
          <w:bCs/>
        </w:rPr>
        <w:t>Pensión suplida y Convenio especial de la seguridad social.</w:t>
      </w:r>
      <w:r>
        <w:rPr/>
        <w:t xml:space="preserve"> Se calcula la pensión de la seguridad social como si el empleado tuviera 65 años (o edad oficial de jubilación) y se considera cotizado hasta el cumplimiento de esa edad, aplicando a dicha cuantía la proporción de años de servicio a 31 de diciembre de 2015, en relación a los años de servicios totales a los 60 años. El convenio especial se calculará sobre la base de cotización calculada a los 60 años aplicándole la misma proporción indicada para la pensión de la seguridad social. </w:t>
      </w:r>
      <w:r>
        <w:rPr/>
        <w:t>Estas pensiones serán revalorizadas conforme a los ajustes acordados por la seguridad social.</w:t>
      </w:r>
      <w:r>
        <w:rPr/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numPr>
          <w:ilvl w:val="0"/>
          <w:numId w:val="1"/>
        </w:numPr>
        <w:jc w:val="both"/>
      </w:pPr>
      <w:r>
        <w:rPr>
          <w:b/>
          <w:bCs/>
        </w:rPr>
        <w:t xml:space="preserve">Pensión IBM a partir de los 60 años. </w:t>
      </w:r>
      <w:r>
        <w:rPr/>
        <w:t xml:space="preserve">En función de la fórmula que se recoge en el Libro de Beneficios Voluntarios, se calcula el valor devengado a 31 de diciembre de 2015, proyectando salarios y bases de cotización hasta los 60 años y considerando los años de servicio aquellos que tendría el empleado a los 65 años. A la pensión así calculada se le aplica la proporción entre el tiempo trabajado a 31 de diciembre del 2015 y el que tendría a los 60 años. </w:t>
      </w:r>
    </w:p>
    <w:p>
      <w:pPr>
        <w:pStyle w:val="style0"/>
        <w:ind w:hanging="0" w:left="1069" w:right="0"/>
      </w:pPr>
      <w:r>
        <w:rPr/>
      </w:r>
    </w:p>
    <w:p>
      <w:pPr>
        <w:pStyle w:val="style3"/>
      </w:pPr>
      <w:r>
        <w:rPr>
          <w:b/>
          <w:bCs/>
        </w:rPr>
        <w:t xml:space="preserve">2.- Implementación de un plan de aportación definida a partir del 1 de enero de 2016, </w:t>
      </w:r>
      <w:bookmarkStart w:id="0" w:name="__DdeLink__88_2086188499"/>
      <w:r>
        <w:rPr>
          <w:b/>
          <w:bCs/>
        </w:rPr>
        <w:t>únicamente aplicable para los empleados provenientes del plan a</w:t>
      </w:r>
      <w:bookmarkEnd w:id="0"/>
      <w:r>
        <w:rPr>
          <w:b/>
          <w:bCs/>
        </w:rPr>
        <w:t>lternativo.</w:t>
      </w:r>
    </w:p>
    <w:p>
      <w:pPr>
        <w:pStyle w:val="style0"/>
        <w:ind w:hanging="0" w:left="708" w:right="0"/>
        <w:jc w:val="both"/>
      </w:pPr>
      <w:r>
        <w:rPr/>
        <w:t xml:space="preserve">A partir del 1 de enero de 2016, se implementará un plan de aportación definida que se instrumentará como un plan de empleo </w:t>
      </w:r>
      <w:r>
        <w:rPr/>
        <w:t xml:space="preserve">prioritariamente </w:t>
      </w:r>
      <w:r>
        <w:rPr/>
        <w:t>o póliza de seguros con atribución de derechos.</w:t>
      </w:r>
    </w:p>
    <w:p>
      <w:pPr>
        <w:pStyle w:val="style0"/>
        <w:jc w:val="both"/>
      </w:pPr>
      <w:r>
        <w:rPr/>
        <w:t xml:space="preserve"> </w:t>
      </w:r>
    </w:p>
    <w:p>
      <w:pPr>
        <w:pStyle w:val="style0"/>
        <w:ind w:hanging="0" w:left="708" w:right="0"/>
        <w:jc w:val="both"/>
      </w:pPr>
      <w:r>
        <w:rPr/>
        <w:t xml:space="preserve">Se llevará a cabo una aportación mensual por parte de IBM SA con un coste global anual </w:t>
      </w:r>
      <w:r>
        <w:rPr/>
        <w:t>para 2016</w:t>
      </w:r>
      <w:r>
        <w:rPr/>
        <w:t xml:space="preserve"> de 20 millones de euros, </w:t>
      </w:r>
      <w:r>
        <w:rPr/>
        <w:t>actualizándose en años sucesivos y a</w:t>
      </w:r>
      <w:r>
        <w:rPr/>
        <w:t xml:space="preserve"> repartir según una prestación objetivo.</w:t>
      </w:r>
    </w:p>
    <w:p>
      <w:pPr>
        <w:pStyle w:val="style0"/>
        <w:jc w:val="both"/>
      </w:pPr>
      <w:r>
        <w:rPr/>
        <w:t xml:space="preserve"> </w:t>
      </w:r>
    </w:p>
    <w:p>
      <w:pPr>
        <w:pStyle w:val="style0"/>
        <w:jc w:val="both"/>
      </w:pPr>
      <w:r>
        <w:rPr/>
        <w:tab/>
      </w:r>
      <w:r>
        <w:rPr>
          <w:b/>
          <w:bCs/>
        </w:rPr>
        <w:t>Salario Pensionable (SP).</w:t>
      </w:r>
    </w:p>
    <w:p>
      <w:pPr>
        <w:pStyle w:val="style0"/>
        <w:ind w:hanging="0" w:left="709" w:right="0"/>
        <w:jc w:val="both"/>
      </w:pPr>
      <w:r>
        <w:rPr/>
        <w:t>Es el percibido por los conceptos actualmente incluidos en el denominado Salario Regulador del Plan tradicional de IBM SA. (Libro de Beneficios Voluntarios – Anexo Póliza- Noviembre 2002)</w:t>
      </w:r>
    </w:p>
    <w:p>
      <w:pPr>
        <w:pStyle w:val="style0"/>
      </w:pPr>
      <w:r>
        <w:rPr/>
      </w:r>
    </w:p>
    <w:p>
      <w:pPr>
        <w:pStyle w:val="style3"/>
      </w:pPr>
      <w:r>
        <w:rPr>
          <w:b/>
          <w:bCs/>
        </w:rPr>
        <w:t>3.- Viudedad, Orfandad e Invalidez a partir del 1 de enero de 2016</w:t>
      </w:r>
    </w:p>
    <w:p>
      <w:pPr>
        <w:pStyle w:val="style0"/>
        <w:jc w:val="both"/>
      </w:pPr>
      <w:r>
        <w:rPr>
          <w:b/>
          <w:bCs/>
        </w:rPr>
        <w:tab/>
      </w:r>
      <w:r>
        <w:rPr/>
        <w:t xml:space="preserve">Se mantendrá la instrumentación de los compromisos por pensiones de viudedad, orfandad e invalidez, en los mismos términos del actual plan de benéficos voluntarios de IBM y con el mismo instrumento de cobertura, un plan de empleo </w:t>
      </w:r>
      <w:r>
        <w:rPr/>
        <w:t>prioritariamente</w:t>
      </w:r>
      <w:r>
        <w:rPr/>
        <w:t xml:space="preserve"> o </w:t>
      </w:r>
      <w:r>
        <w:rPr/>
        <w:t xml:space="preserve">en </w:t>
      </w:r>
      <w:r>
        <w:rPr/>
        <w:t>póliza de seguros.</w:t>
      </w:r>
    </w:p>
    <w:p>
      <w:pPr>
        <w:pStyle w:val="style0"/>
        <w:jc w:val="both"/>
      </w:pPr>
      <w:r>
        <w:rPr/>
      </w:r>
    </w:p>
    <w:p>
      <w:pPr>
        <w:pStyle w:val="style3"/>
      </w:pPr>
      <w:r>
        <w:rPr>
          <w:b/>
          <w:bCs/>
        </w:rPr>
        <w:t xml:space="preserve">4.- Derechos </w:t>
      </w:r>
      <w:r>
        <w:rPr>
          <w:b/>
          <w:bCs/>
        </w:rPr>
        <w:t>devengados</w:t>
      </w:r>
      <w:r>
        <w:rPr>
          <w:b/>
          <w:bCs/>
        </w:rPr>
        <w:t>, valoración a 31 de diciembre de 2015</w:t>
      </w:r>
    </w:p>
    <w:p>
      <w:pPr>
        <w:pStyle w:val="style0"/>
        <w:jc w:val="both"/>
      </w:pPr>
      <w:r>
        <w:rPr>
          <w:b/>
          <w:bCs/>
        </w:rPr>
        <w:tab/>
      </w:r>
      <w:r>
        <w:rPr/>
        <w:t>Para el cálculo de las pensiones devengadas definidas para los empleados provenientes del plan alternativo (Convenio Especial, Pensión Suplida y Pensión IBM), se utilizaran las siguientes hipótesis actuariales:</w:t>
      </w:r>
    </w:p>
    <w:p>
      <w:pPr>
        <w:pStyle w:val="style0"/>
        <w:jc w:val="both"/>
      </w:pPr>
      <w:r>
        <w:rPr/>
        <w:tab/>
        <w:t>IPC – 2,25%  (Indice de Precios al Consumo)</w:t>
      </w:r>
    </w:p>
    <w:p>
      <w:pPr>
        <w:pStyle w:val="style0"/>
        <w:jc w:val="both"/>
      </w:pPr>
      <w:r>
        <w:rPr/>
        <w:tab/>
        <w:t>IRS – 2,50% (Indice de Revalorización Salarial)</w:t>
      </w:r>
    </w:p>
    <w:p>
      <w:pPr>
        <w:pStyle w:val="style0"/>
        <w:jc w:val="both"/>
      </w:pPr>
      <w:r>
        <w:rPr/>
        <w:tab/>
        <w:t>IBCSS – 2,50% (Indice de Revalorización de las Bases de Cotización a la Seguridad Social no máximas)</w:t>
      </w:r>
    </w:p>
    <w:p>
      <w:pPr>
        <w:pStyle w:val="style0"/>
        <w:jc w:val="both"/>
      </w:pPr>
      <w:r>
        <w:rPr/>
        <w:tab/>
        <w:t>IBCSS Max – 2,25% (ídem. Máximas)</w:t>
      </w:r>
    </w:p>
    <w:p>
      <w:pPr>
        <w:pStyle w:val="style0"/>
        <w:jc w:val="both"/>
      </w:pPr>
      <w:r>
        <w:rPr/>
        <w:tab/>
        <w:t>IPSS – 1% (Indice de Revalorización de las Pensiones de la Seguridad Social)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ab/>
        <w:t>Estas pensiones devengadas como derechos adquiridos se instrumentarán en una póliza de seguros colectivos con atribución completa de derechos y sin imputación fiscal.</w:t>
      </w:r>
    </w:p>
    <w:p>
      <w:pPr>
        <w:pStyle w:val="style0"/>
        <w:jc w:val="both"/>
      </w:pPr>
      <w:r>
        <w:rPr/>
      </w:r>
    </w:p>
    <w:p>
      <w:pPr>
        <w:pStyle w:val="style3"/>
      </w:pPr>
      <w:r>
        <w:rPr>
          <w:b/>
          <w:bCs/>
        </w:rPr>
        <w:t>5.- Regularización por la Sentencia del TS sobre pensiones.</w:t>
      </w:r>
    </w:p>
    <w:p>
      <w:pPr>
        <w:pStyle w:val="style0"/>
      </w:pPr>
      <w:r>
        <w:rPr>
          <w:b/>
          <w:bCs/>
        </w:rPr>
        <w:tab/>
        <w:t>a) Cantidades aportadas hasta 24 de marzo de 2014 por IBM SA en concepto de plan alternativo y para los que no sufrieron la reducción correspondiente en el salario.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b/>
          <w:bCs/>
        </w:rPr>
        <w:tab/>
        <w:t xml:space="preserve">1.- Tipos de interés aplicables anualmente. </w:t>
      </w:r>
    </w:p>
    <w:p>
      <w:pPr>
        <w:pStyle w:val="style0"/>
        <w:jc w:val="both"/>
      </w:pPr>
      <w:r>
        <w:rPr>
          <w:b/>
          <w:bCs/>
        </w:rPr>
        <w:tab/>
        <w:tab/>
      </w:r>
      <w:r>
        <w:rPr/>
        <w:t xml:space="preserve">Los del Banco de España, vigentes en cada momento, </w:t>
      </w:r>
      <w:r>
        <w:rPr/>
        <w:t>a negociar.</w:t>
      </w:r>
    </w:p>
    <w:p>
      <w:pPr>
        <w:pStyle w:val="style0"/>
        <w:jc w:val="both"/>
      </w:pPr>
      <w:r>
        <w:rPr>
          <w:b/>
          <w:bCs/>
        </w:rPr>
        <w:tab/>
        <w:t xml:space="preserve">2.-  Fecha de actualización de las aportaciones </w:t>
      </w:r>
    </w:p>
    <w:p>
      <w:pPr>
        <w:pStyle w:val="style0"/>
        <w:jc w:val="both"/>
      </w:pPr>
      <w:r>
        <w:rPr>
          <w:b/>
          <w:bCs/>
        </w:rPr>
        <w:tab/>
        <w:tab/>
      </w:r>
      <w:r>
        <w:rPr/>
        <w:t>31 de diciembre de 2015.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709" w:right="0"/>
        <w:jc w:val="both"/>
      </w:pPr>
      <w:r>
        <w:rPr>
          <w:b/>
          <w:bCs/>
        </w:rPr>
        <w:t>b) Empleados provenientes de IGS a IBM SA y para los que se les dedujo del salario las cantidades percibidas para plan alternativo.</w:t>
      </w:r>
    </w:p>
    <w:p>
      <w:pPr>
        <w:pStyle w:val="style0"/>
        <w:jc w:val="both"/>
      </w:pPr>
      <w:r>
        <w:rPr>
          <w:b/>
          <w:bCs/>
        </w:rPr>
        <w:tab/>
        <w:tab/>
      </w:r>
      <w:r>
        <w:rPr>
          <w:bCs/>
        </w:rPr>
        <w:t>No procederá regularización, y se les incrementará el salario en la cantidad deducida.</w:t>
      </w:r>
    </w:p>
    <w:p>
      <w:pPr>
        <w:pStyle w:val="style0"/>
        <w:jc w:val="both"/>
      </w:pPr>
      <w:r>
        <w:rPr/>
      </w:r>
    </w:p>
    <w:p>
      <w:pPr>
        <w:pStyle w:val="style0"/>
        <w:ind w:firstLine="708" w:left="0" w:right="0"/>
        <w:jc w:val="both"/>
      </w:pPr>
      <w:r>
        <w:rPr>
          <w:b/>
          <w:bCs/>
        </w:rPr>
        <w:t xml:space="preserve">c) Otros temas pendientes a </w:t>
      </w:r>
      <w:r>
        <w:rPr>
          <w:b/>
          <w:bCs/>
        </w:rPr>
        <w:t>negociar</w:t>
      </w:r>
      <w:r>
        <w:rPr>
          <w:b/>
          <w:bCs/>
        </w:rPr>
        <w:t xml:space="preserve">:  </w:t>
      </w:r>
    </w:p>
    <w:p>
      <w:pPr>
        <w:pStyle w:val="style0"/>
        <w:ind w:hanging="0" w:left="708" w:right="0"/>
        <w:jc w:val="both"/>
      </w:pPr>
      <w:r>
        <w:rPr>
          <w:b/>
          <w:bCs/>
        </w:rPr>
        <w:tab/>
        <w:tab/>
      </w:r>
      <w:r>
        <w:rPr>
          <w:b w:val="false"/>
          <w:bCs w:val="false"/>
        </w:rPr>
        <w:t>Fórmula de regularización, devolución por parte del empleado, antigüedad etc.</w:t>
      </w:r>
      <w:r>
        <w:rPr/>
        <w:tab/>
      </w:r>
    </w:p>
    <w:sectPr>
      <w:footerReference r:id="rId2" w:type="default"/>
      <w:type w:val="nextPage"/>
      <w:pgSz w:h="16834" w:w="11909"/>
      <w:pgMar w:bottom="1710" w:footer="1134" w:gutter="0" w:header="0" w:left="1134" w:right="1134" w:top="1134"/>
      <w:pgNumType w:fmt="decimal"/>
      <w:formProt w:val="false"/>
      <w:textDirection w:val="lrTb"/>
      <w:docGrid w:charSpace="32768" w:linePitch="6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5"/>
      <w:jc w:val="center"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  <w:r>
      <w:rPr/>
      <w:t xml:space="preserve">de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lowerLetter"/>
      <w:lvlText w:val="%1."/>
      <w:lvlJc w:val="left"/>
      <w:pPr>
        <w:tabs>
          <w:tab w:pos="1778" w:val="num"/>
        </w:tabs>
        <w:ind w:hanging="360" w:left="1778"/>
      </w:pPr>
    </w:lvl>
    <w:lvl w:ilvl="1">
      <w:start w:val="1"/>
      <w:numFmt w:val="upperRoman"/>
      <w:lvlText w:val="%2."/>
      <w:lvlJc w:val="left"/>
      <w:pPr>
        <w:tabs>
          <w:tab w:pos="2138" w:val="num"/>
        </w:tabs>
        <w:ind w:hanging="360" w:left="2138"/>
      </w:pPr>
    </w:lvl>
    <w:lvl w:ilvl="2">
      <w:start w:val="1"/>
      <w:numFmt w:val="upperRoman"/>
      <w:lvlText w:val="%3."/>
      <w:lvlJc w:val="left"/>
      <w:pPr>
        <w:tabs>
          <w:tab w:pos="2498" w:val="num"/>
        </w:tabs>
        <w:ind w:hanging="360" w:left="2498"/>
      </w:pPr>
    </w:lvl>
    <w:lvl w:ilvl="3">
      <w:start w:val="1"/>
      <w:numFmt w:val="upperRoman"/>
      <w:lvlText w:val="%4."/>
      <w:lvlJc w:val="left"/>
      <w:pPr>
        <w:tabs>
          <w:tab w:pos="2858" w:val="num"/>
        </w:tabs>
        <w:ind w:hanging="360" w:left="2858"/>
      </w:pPr>
    </w:lvl>
    <w:lvl w:ilvl="4">
      <w:start w:val="1"/>
      <w:numFmt w:val="upperRoman"/>
      <w:lvlText w:val="%5."/>
      <w:lvlJc w:val="left"/>
      <w:pPr>
        <w:tabs>
          <w:tab w:pos="3218" w:val="num"/>
        </w:tabs>
        <w:ind w:hanging="360" w:left="3218"/>
      </w:pPr>
    </w:lvl>
    <w:lvl w:ilvl="5">
      <w:start w:val="1"/>
      <w:numFmt w:val="upperRoman"/>
      <w:lvlText w:val="%6."/>
      <w:lvlJc w:val="left"/>
      <w:pPr>
        <w:tabs>
          <w:tab w:pos="3578" w:val="num"/>
        </w:tabs>
        <w:ind w:hanging="360" w:left="3578"/>
      </w:pPr>
    </w:lvl>
    <w:lvl w:ilvl="6">
      <w:start w:val="1"/>
      <w:numFmt w:val="upperRoman"/>
      <w:lvlText w:val="%7."/>
      <w:lvlJc w:val="left"/>
      <w:pPr>
        <w:tabs>
          <w:tab w:pos="3938" w:val="num"/>
        </w:tabs>
        <w:ind w:hanging="360" w:left="3938"/>
      </w:pPr>
    </w:lvl>
    <w:lvl w:ilvl="7">
      <w:start w:val="1"/>
      <w:numFmt w:val="upperRoman"/>
      <w:lvlText w:val="%8."/>
      <w:lvlJc w:val="left"/>
      <w:pPr>
        <w:tabs>
          <w:tab w:pos="4298" w:val="num"/>
        </w:tabs>
        <w:ind w:hanging="360" w:left="4298"/>
      </w:pPr>
    </w:lvl>
    <w:lvl w:ilvl="8">
      <w:start w:val="1"/>
      <w:numFmt w:val="upperRoman"/>
      <w:lvlText w:val="%9."/>
      <w:lvlJc w:val="left"/>
      <w:pPr>
        <w:tabs>
          <w:tab w:pos="4658" w:val="num"/>
        </w:tabs>
        <w:ind w:hanging="360" w:left="4658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8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s-ES"/>
    </w:rPr>
  </w:style>
  <w:style w:styleId="style1" w:type="paragraph">
    <w:name w:val="Heading 1"/>
    <w:basedOn w:val="style56"/>
    <w:next w:val="style1"/>
    <w:pPr/>
    <w:rPr/>
  </w:style>
  <w:style w:styleId="style2" w:type="paragraph">
    <w:name w:val="Heading 2"/>
    <w:basedOn w:val="style56"/>
    <w:next w:val="style2"/>
    <w:pPr/>
    <w:rPr/>
  </w:style>
  <w:style w:styleId="style3" w:type="paragraph">
    <w:name w:val="Heading 3"/>
    <w:basedOn w:val="style56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WW8Num1zfalse"/>
    <w:next w:val="style16"/>
    <w:rPr/>
  </w:style>
  <w:style w:styleId="style17" w:type="character">
    <w:name w:val="WW8Num1ztrue"/>
    <w:next w:val="style17"/>
    <w:rPr/>
  </w:style>
  <w:style w:styleId="style18" w:type="character">
    <w:name w:val="WW8Num1ztrue7"/>
    <w:next w:val="style18"/>
    <w:rPr/>
  </w:style>
  <w:style w:styleId="style19" w:type="character">
    <w:name w:val="WW8Num1ztrue6"/>
    <w:next w:val="style19"/>
    <w:rPr/>
  </w:style>
  <w:style w:styleId="style20" w:type="character">
    <w:name w:val="WW8Num1ztrue5"/>
    <w:next w:val="style20"/>
    <w:rPr/>
  </w:style>
  <w:style w:styleId="style21" w:type="character">
    <w:name w:val="WW8Num1ztrue4"/>
    <w:next w:val="style21"/>
    <w:rPr/>
  </w:style>
  <w:style w:styleId="style22" w:type="character">
    <w:name w:val="WW8Num1ztrue3"/>
    <w:next w:val="style22"/>
    <w:rPr/>
  </w:style>
  <w:style w:styleId="style23" w:type="character">
    <w:name w:val="WW8Num1ztrue2"/>
    <w:next w:val="style23"/>
    <w:rPr/>
  </w:style>
  <w:style w:styleId="style24" w:type="character">
    <w:name w:val="WW8Num1ztrue1"/>
    <w:next w:val="style24"/>
    <w:rPr/>
  </w:style>
  <w:style w:styleId="style25" w:type="character">
    <w:name w:val="WW8Num2zfalse"/>
    <w:next w:val="style25"/>
    <w:rPr/>
  </w:style>
  <w:style w:styleId="style26" w:type="character">
    <w:name w:val="WW8Num2ztrue"/>
    <w:next w:val="style26"/>
    <w:rPr/>
  </w:style>
  <w:style w:styleId="style27" w:type="character">
    <w:name w:val="WW8Num2ztrue7"/>
    <w:next w:val="style27"/>
    <w:rPr/>
  </w:style>
  <w:style w:styleId="style28" w:type="character">
    <w:name w:val="WW8Num2ztrue6"/>
    <w:next w:val="style28"/>
    <w:rPr/>
  </w:style>
  <w:style w:styleId="style29" w:type="character">
    <w:name w:val="WW8Num2ztrue5"/>
    <w:next w:val="style29"/>
    <w:rPr/>
  </w:style>
  <w:style w:styleId="style30" w:type="character">
    <w:name w:val="WW8Num2ztrue4"/>
    <w:next w:val="style30"/>
    <w:rPr/>
  </w:style>
  <w:style w:styleId="style31" w:type="character">
    <w:name w:val="WW8Num2ztrue3"/>
    <w:next w:val="style31"/>
    <w:rPr/>
  </w:style>
  <w:style w:styleId="style32" w:type="character">
    <w:name w:val="WW8Num2ztrue2"/>
    <w:next w:val="style32"/>
    <w:rPr/>
  </w:style>
  <w:style w:styleId="style33" w:type="character">
    <w:name w:val="WW8Num2ztrue1"/>
    <w:next w:val="style33"/>
    <w:rPr/>
  </w:style>
  <w:style w:styleId="style34" w:type="character">
    <w:name w:val="WW8Num1z0"/>
    <w:next w:val="style34"/>
    <w:rPr/>
  </w:style>
  <w:style w:styleId="style35" w:type="character">
    <w:name w:val="WW8Num1z1"/>
    <w:next w:val="style35"/>
    <w:rPr/>
  </w:style>
  <w:style w:styleId="style36" w:type="character">
    <w:name w:val="WW8Num1z2"/>
    <w:next w:val="style36"/>
    <w:rPr/>
  </w:style>
  <w:style w:styleId="style37" w:type="character">
    <w:name w:val="WW8Num1z3"/>
    <w:next w:val="style37"/>
    <w:rPr/>
  </w:style>
  <w:style w:styleId="style38" w:type="character">
    <w:name w:val="WW8Num1z4"/>
    <w:next w:val="style38"/>
    <w:rPr/>
  </w:style>
  <w:style w:styleId="style39" w:type="character">
    <w:name w:val="WW8Num1z5"/>
    <w:next w:val="style39"/>
    <w:rPr/>
  </w:style>
  <w:style w:styleId="style40" w:type="character">
    <w:name w:val="WW8Num1z6"/>
    <w:next w:val="style40"/>
    <w:rPr/>
  </w:style>
  <w:style w:styleId="style41" w:type="character">
    <w:name w:val="WW8Num1z7"/>
    <w:next w:val="style41"/>
    <w:rPr/>
  </w:style>
  <w:style w:styleId="style42" w:type="character">
    <w:name w:val="WW8Num1z8"/>
    <w:next w:val="style42"/>
    <w:rPr/>
  </w:style>
  <w:style w:styleId="style43" w:type="character">
    <w:name w:val="WW8Num2z0"/>
    <w:next w:val="style43"/>
    <w:rPr/>
  </w:style>
  <w:style w:styleId="style44" w:type="character">
    <w:name w:val="WW8Num2z1"/>
    <w:next w:val="style44"/>
    <w:rPr/>
  </w:style>
  <w:style w:styleId="style45" w:type="character">
    <w:name w:val="WW8Num2z2"/>
    <w:next w:val="style45"/>
    <w:rPr/>
  </w:style>
  <w:style w:styleId="style46" w:type="character">
    <w:name w:val="WW8Num2z3"/>
    <w:next w:val="style46"/>
    <w:rPr/>
  </w:style>
  <w:style w:styleId="style47" w:type="character">
    <w:name w:val="WW8Num2z4"/>
    <w:next w:val="style47"/>
    <w:rPr/>
  </w:style>
  <w:style w:styleId="style48" w:type="character">
    <w:name w:val="WW8Num2z5"/>
    <w:next w:val="style48"/>
    <w:rPr/>
  </w:style>
  <w:style w:styleId="style49" w:type="character">
    <w:name w:val="WW8Num2z6"/>
    <w:next w:val="style49"/>
    <w:rPr/>
  </w:style>
  <w:style w:styleId="style50" w:type="character">
    <w:name w:val="WW8Num2z7"/>
    <w:next w:val="style50"/>
    <w:rPr/>
  </w:style>
  <w:style w:styleId="style51" w:type="character">
    <w:name w:val="WW8Num2z8"/>
    <w:next w:val="style51"/>
    <w:rPr/>
  </w:style>
  <w:style w:styleId="style52" w:type="character">
    <w:name w:val="Símbolos de numeración"/>
    <w:next w:val="style52"/>
    <w:rPr/>
  </w:style>
  <w:style w:styleId="style53" w:type="character">
    <w:name w:val="Body Text Char"/>
    <w:basedOn w:val="style15"/>
    <w:next w:val="style53"/>
    <w:rPr>
      <w:rFonts w:cs="Mangal" w:eastAsia="SimSun"/>
      <w:sz w:val="24"/>
      <w:szCs w:val="21"/>
      <w:lang w:bidi="hi-IN" w:eastAsia="zh-CN" w:val="es-ES"/>
    </w:rPr>
  </w:style>
  <w:style w:styleId="style54" w:type="character">
    <w:name w:val="ListLabel 1"/>
    <w:next w:val="style54"/>
    <w:rPr>
      <w:rFonts w:cs="Times New Roman"/>
    </w:rPr>
  </w:style>
  <w:style w:styleId="style55" w:type="character">
    <w:name w:val="ListLabel 2"/>
    <w:next w:val="style55"/>
    <w:rPr>
      <w:rFonts w:cs="Times New Roman"/>
      <w:b/>
    </w:rPr>
  </w:style>
  <w:style w:styleId="style56" w:type="paragraph">
    <w:name w:val="Heading"/>
    <w:basedOn w:val="style0"/>
    <w:next w:val="style57"/>
    <w:pPr>
      <w:keepNext/>
      <w:spacing w:after="120" w:before="240"/>
      <w:contextualSpacing w:val="false"/>
    </w:pPr>
    <w:rPr>
      <w:rFonts w:ascii="Liberation Sans" w:cs="Lohit Devanagari" w:eastAsia="WenQuanYi Zen Hei" w:hAnsi="Liberation Sans"/>
      <w:sz w:val="28"/>
      <w:szCs w:val="28"/>
    </w:rPr>
  </w:style>
  <w:style w:styleId="style57" w:type="paragraph">
    <w:name w:val="Text Body"/>
    <w:basedOn w:val="style0"/>
    <w:next w:val="style57"/>
    <w:pPr>
      <w:spacing w:after="120" w:before="0"/>
      <w:contextualSpacing w:val="false"/>
    </w:pPr>
    <w:rPr/>
  </w:style>
  <w:style w:styleId="style58" w:type="paragraph">
    <w:name w:val="List"/>
    <w:basedOn w:val="style57"/>
    <w:next w:val="style58"/>
    <w:pPr/>
    <w:rPr>
      <w:rFonts w:cs="Lohit Devanagari"/>
    </w:rPr>
  </w:style>
  <w:style w:styleId="style59" w:type="paragraph">
    <w:name w:val="Caption"/>
    <w:basedOn w:val="style0"/>
    <w:next w:val="style59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60" w:type="paragraph">
    <w:name w:val="Index"/>
    <w:basedOn w:val="style0"/>
    <w:next w:val="style60"/>
    <w:pPr>
      <w:suppressLineNumbers/>
    </w:pPr>
    <w:rPr>
      <w:rFonts w:cs="Lohit Devanagari"/>
    </w:rPr>
  </w:style>
  <w:style w:styleId="style61" w:type="paragraph">
    <w:name w:val="caption"/>
    <w:basedOn w:val="style0"/>
    <w:next w:val="style61"/>
    <w:pPr>
      <w:suppressLineNumbers/>
      <w:spacing w:after="120" w:before="120"/>
      <w:contextualSpacing w:val="false"/>
    </w:pPr>
    <w:rPr>
      <w:rFonts w:cs="Lohit Devanagari"/>
      <w:i/>
      <w:iCs/>
    </w:rPr>
  </w:style>
  <w:style w:styleId="style62" w:type="paragraph">
    <w:name w:val="Encabezado"/>
    <w:basedOn w:val="style0"/>
    <w:next w:val="style62"/>
    <w:pPr>
      <w:keepNext/>
      <w:spacing w:after="120" w:before="240"/>
      <w:contextualSpacing w:val="false"/>
    </w:pPr>
    <w:rPr>
      <w:rFonts w:ascii="Arial" w:eastAsia="Microsoft YaHei" w:hAnsi="Arial"/>
      <w:sz w:val="28"/>
      <w:szCs w:val="28"/>
    </w:rPr>
  </w:style>
  <w:style w:styleId="style63" w:type="paragraph">
    <w:name w:val="Etiqueta"/>
    <w:basedOn w:val="style0"/>
    <w:next w:val="style63"/>
    <w:pPr>
      <w:suppressLineNumbers/>
      <w:spacing w:after="120" w:before="120"/>
      <w:contextualSpacing w:val="false"/>
    </w:pPr>
    <w:rPr>
      <w:i/>
      <w:iCs/>
    </w:rPr>
  </w:style>
  <w:style w:styleId="style64" w:type="paragraph">
    <w:name w:val="Índice"/>
    <w:basedOn w:val="style0"/>
    <w:next w:val="style64"/>
    <w:pPr>
      <w:suppressLineNumbers/>
    </w:pPr>
    <w:rPr/>
  </w:style>
  <w:style w:styleId="style65" w:type="paragraph">
    <w:name w:val="Footer"/>
    <w:basedOn w:val="style0"/>
    <w:next w:val="style6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LibreOffice/4.0.6.2$Linux_X86_64 LibreOffice_project/2e2573268451a50806fcd60ae2d9fe01dd0ce24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2015-10-29T06:43:00.00Z</dcterms:created>
  <cp:lastModifiedBy>ADMINIBM</cp:lastModifiedBy>
  <dcterms:modified xsi:type="dcterms:W3CDTF">2015-10-29T06:43:00.00Z</dcterms:modified>
  <cp:revision>2</cp:revision>
</cp:coreProperties>
</file>