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2CF38" w14:textId="4FB76D28" w:rsidR="00CB2FC4" w:rsidRPr="00CB2FC4" w:rsidRDefault="00CB2FC4" w:rsidP="00CB2FC4">
      <w:pPr>
        <w:jc w:val="center"/>
        <w:rPr>
          <w:sz w:val="40"/>
          <w:szCs w:val="40"/>
        </w:rPr>
      </w:pPr>
      <w:r w:rsidRPr="00CB2FC4">
        <w:rPr>
          <w:sz w:val="40"/>
          <w:szCs w:val="40"/>
        </w:rPr>
        <w:t>Què va ser la fil·loxera?</w:t>
      </w:r>
    </w:p>
    <w:p w14:paraId="49FBD08F" w14:textId="6136048F" w:rsidR="00CB2FC4" w:rsidRDefault="00CB2FC4">
      <w:r>
        <w:t xml:space="preserve">L’estrall de la fil·loxera de 1880-92 és el desastre més gran que ha patit mai el camp català. Però </w:t>
      </w:r>
      <w:r w:rsidR="00E41A9D">
        <w:t xml:space="preserve">precisament </w:t>
      </w:r>
      <w:r>
        <w:t xml:space="preserve">aquesta desgràcia es va donar en un segle expansiu i enriquidor per a l’agricultura catalana. </w:t>
      </w:r>
    </w:p>
    <w:p w14:paraId="4EAD1213" w14:textId="152905EB" w:rsidR="00CB2FC4" w:rsidRDefault="002B138B">
      <w:r>
        <w:t>L</w:t>
      </w:r>
      <w:r w:rsidR="00CB2FC4">
        <w:t>a vinya va continuar al llarg del segle la seva expansió del segle anterior, expansió que va arribar al seu màxim després de 1865, a causa de la destrucció de les vinyes franceses per l</w:t>
      </w:r>
      <w:r w:rsidR="00E41A9D">
        <w:t>’insecte de la</w:t>
      </w:r>
      <w:r w:rsidR="00CB2FC4">
        <w:t xml:space="preserve"> fil·loxera. Llavors, l’exportació cap a França va fer que el preu del vi es doblés, i una riuada d’or s’estengué pel camp de Catalunya. L’expansió del conreu s’intensificà</w:t>
      </w:r>
      <w:r w:rsidR="002E45D9">
        <w:t xml:space="preserve"> molt</w:t>
      </w:r>
      <w:r w:rsidR="00CB2FC4">
        <w:t xml:space="preserve">. </w:t>
      </w:r>
    </w:p>
    <w:p w14:paraId="45B06BAD" w14:textId="4EBAA08A" w:rsidR="009C1511" w:rsidRDefault="00CB2FC4">
      <w:r>
        <w:t>Però... l’any 1879</w:t>
      </w:r>
      <w:r w:rsidR="009C1511">
        <w:t>,</w:t>
      </w:r>
      <w:r>
        <w:t xml:space="preserve"> la fil·loxera travessava els Pirineus </w:t>
      </w:r>
      <w:r w:rsidR="009C1511">
        <w:t xml:space="preserve">(cosa que tothom tenia per segur que no passaria) </w:t>
      </w:r>
      <w:r>
        <w:t xml:space="preserve">i començava tot seguit a estendre’s per Catalunya. L’any 1882 arribava al Maresme, el 1887, al Penedès, i dos anys després, al Priorat. La crisi va assolir el punt culminant entre 1892 i 1894: les vinyes foren destruïdes quasi a tot arreu, i les llars pageses, preses de la desesperació. </w:t>
      </w:r>
    </w:p>
    <w:p w14:paraId="68AD9B28" w14:textId="61D4B793" w:rsidR="002B138B" w:rsidRDefault="00847D7F">
      <w:r>
        <w:t xml:space="preserve">Es donaren </w:t>
      </w:r>
      <w:r w:rsidR="002B138B">
        <w:t xml:space="preserve">situacions dramàtiques, perquè, al compàs de l’extensió de la plaga, hi hagué pagesos que demanaren crèdits per fer replantacions de ceps nous, </w:t>
      </w:r>
      <w:r>
        <w:t>els quals també acabaren morint, i els pagesos creditors quedaren arruïnats.</w:t>
      </w:r>
    </w:p>
    <w:p w14:paraId="2E57E7A2" w14:textId="77777777" w:rsidR="00F35C65" w:rsidRDefault="00CB2FC4">
      <w:r>
        <w:t xml:space="preserve">El país s’anà refent del desastre mitjançant l’empeltament de ceps americans, resistents a la fil·loxera, sota la direcció científica de l’Estació Enològica de Vilafranca del Penedès, fundada l’any 1892. </w:t>
      </w:r>
    </w:p>
    <w:p w14:paraId="1C15D56C" w14:textId="5A42F471" w:rsidR="00F35C65" w:rsidRDefault="00F35C65">
      <w:r>
        <w:t>Els ceps americans no donaven fruit, però els seus peus i arrels eren immunes a l’insecte. Es plantaven, i quan començaven a créixer, els empeltaven de ceps dels país.</w:t>
      </w:r>
    </w:p>
    <w:p w14:paraId="3AFDA6B1" w14:textId="7D5E0C96" w:rsidR="009C1511" w:rsidRDefault="00CB2FC4">
      <w:r>
        <w:t xml:space="preserve">La replantació assolí resultats sorprenents, però l’estrall social fou enorme. Algunes comarques vinateres veieren minvar notablement la seva població: el Priorat, per exemple, perdé un 25 per 100 dels seus habitants. Molta gent va emigrar cap a Amèrica. </w:t>
      </w:r>
    </w:p>
    <w:p w14:paraId="2E662A2C" w14:textId="413FB05A" w:rsidR="00847D7F" w:rsidRDefault="00F35C65">
      <w:r>
        <w:t xml:space="preserve">Durant el procés, </w:t>
      </w:r>
      <w:r w:rsidR="00652CDA">
        <w:t xml:space="preserve">no faltaren pas les crisis i l’agitació social. En un principi, els tècnics recomanaren arrencar totes les vinyes del Rosselló i l’Empordà, com a barrera, per tal de parar l’extensió de la plaga i salvar les altres comarques. Però els pagesos afectats s’hi resistien. </w:t>
      </w:r>
    </w:p>
    <w:p w14:paraId="435D4449" w14:textId="68FED230" w:rsidR="00393E7C" w:rsidRDefault="00393E7C">
      <w:r>
        <w:t xml:space="preserve">En alguns llocs, sobretot a Calella, hi va haver avalots contra les brigades de la Comissió </w:t>
      </w:r>
      <w:proofErr w:type="spellStart"/>
      <w:r w:rsidR="000403A2">
        <w:t>A</w:t>
      </w:r>
      <w:r>
        <w:t>ntifil·loxèrica</w:t>
      </w:r>
      <w:proofErr w:type="spellEnd"/>
      <w:r>
        <w:t xml:space="preserve">, i de resultes, </w:t>
      </w:r>
      <w:r w:rsidR="000403A2">
        <w:t>les mesures ordenades pels tècnics es van deturar durant dos anys.</w:t>
      </w:r>
    </w:p>
    <w:p w14:paraId="3420F8D1" w14:textId="77777777" w:rsidR="00864B5D" w:rsidRDefault="00EA20F3" w:rsidP="00864B5D">
      <w:r>
        <w:t xml:space="preserve">Ni el Govern d’Espanya </w:t>
      </w:r>
      <w:r w:rsidR="000403A2">
        <w:t xml:space="preserve">hi </w:t>
      </w:r>
      <w:r>
        <w:t>col·laborà com calia. S’havia posat un impost als pagesos per finançar la campanya de lluita contra la fil·loxera, però els pagesos que ja no tenien vinya dem</w:t>
      </w:r>
      <w:r w:rsidR="00052CBB">
        <w:t>a</w:t>
      </w:r>
      <w:r>
        <w:t>naven l</w:t>
      </w:r>
      <w:r w:rsidR="00052CBB">
        <w:t>’exempció fiscal. El Govern es feia el ronsa, i, quan ja totes les vinyes del país eren mortes, el Govern encara exigia els tributs per “lluitar contra la fil·loxera</w:t>
      </w:r>
      <w:r w:rsidR="00393E7C">
        <w:t>”</w:t>
      </w:r>
      <w:r w:rsidR="00052CBB">
        <w:t>.</w:t>
      </w:r>
      <w:r w:rsidR="00393E7C">
        <w:t xml:space="preserve"> L’eterna burocràcia seguia el seu camí inalterable.</w:t>
      </w:r>
      <w:r w:rsidR="00864B5D">
        <w:t xml:space="preserve">                    Antoni Ferret</w:t>
      </w:r>
    </w:p>
    <w:p w14:paraId="4028B554" w14:textId="77777777" w:rsidR="001B1E06" w:rsidRPr="001B1E06" w:rsidRDefault="001B1E06" w:rsidP="001B1E06">
      <w:pPr>
        <w:shd w:val="clear" w:color="auto" w:fill="FFFFFF"/>
        <w:spacing w:after="450" w:line="288" w:lineRule="atLeast"/>
        <w:jc w:val="center"/>
        <w:outlineLvl w:val="0"/>
        <w:rPr>
          <w:rFonts w:asciiTheme="minorHAnsi" w:eastAsia="Times New Roman" w:hAnsiTheme="minorHAnsi" w:cstheme="minorHAnsi"/>
          <w:color w:val="000000"/>
          <w:kern w:val="36"/>
          <w:sz w:val="40"/>
          <w:szCs w:val="40"/>
          <w:lang w:val="es-ES" w:eastAsia="ca-ES"/>
        </w:rPr>
      </w:pPr>
      <w:r w:rsidRPr="001B1E06">
        <w:rPr>
          <w:rFonts w:asciiTheme="minorHAnsi" w:eastAsia="Times New Roman" w:hAnsiTheme="minorHAnsi" w:cstheme="minorHAnsi"/>
          <w:color w:val="000000"/>
          <w:kern w:val="36"/>
          <w:sz w:val="40"/>
          <w:szCs w:val="40"/>
          <w:lang w:val="es-ES" w:eastAsia="ca-ES"/>
        </w:rPr>
        <w:lastRenderedPageBreak/>
        <w:t>Descifran por primera vez el genoma completo de un ser humano</w:t>
      </w:r>
    </w:p>
    <w:p w14:paraId="74C13E77" w14:textId="77777777" w:rsidR="001B1E06" w:rsidRDefault="001B1E06" w:rsidP="001B1E06">
      <w:pPr>
        <w:shd w:val="clear" w:color="auto" w:fill="FFFFFF"/>
        <w:spacing w:line="360" w:lineRule="atLeast"/>
        <w:jc w:val="center"/>
        <w:outlineLvl w:val="1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val="es-ES" w:eastAsia="ca-ES"/>
        </w:rPr>
      </w:pPr>
      <w:r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val="es-ES" w:eastAsia="ca-ES"/>
        </w:rPr>
        <w:t>Este descubrimiento arrojará nuevos datos sobre las enfermedades genéticas, la reproducción, la diversidad humana e incluso la evolución de nuestra especie.</w:t>
      </w:r>
    </w:p>
    <w:p w14:paraId="3486621A" w14:textId="77777777" w:rsidR="001B1E06" w:rsidRDefault="001B1E06" w:rsidP="001B1E06">
      <w:pPr>
        <w:rPr>
          <w:lang w:val="es-ES"/>
        </w:rPr>
      </w:pPr>
    </w:p>
    <w:p w14:paraId="226E577D" w14:textId="77777777" w:rsidR="001B1E06" w:rsidRDefault="001B1E06" w:rsidP="001B1E06">
      <w:pPr>
        <w:pStyle w:val="Firma1"/>
        <w:spacing w:before="0" w:beforeAutospacing="0" w:after="0" w:afterAutospacing="0" w:line="312" w:lineRule="atLeast"/>
        <w:rPr>
          <w:b/>
          <w:bCs/>
          <w:caps/>
        </w:rPr>
      </w:pPr>
      <w:hyperlink r:id="rId4" w:anchor="analytics-noticia:autor" w:history="1">
        <w:r>
          <w:rPr>
            <w:rStyle w:val="Hipervnculo"/>
            <w:b/>
            <w:bCs/>
            <w:caps/>
            <w:color w:val="000000"/>
            <w:bdr w:val="none" w:sz="0" w:space="0" w:color="auto" w:frame="1"/>
          </w:rPr>
          <w:t>PÚBLICO</w:t>
        </w:r>
      </w:hyperlink>
      <w:r>
        <w:rPr>
          <w:b/>
          <w:bCs/>
          <w:caps/>
        </w:rPr>
        <w:t> / </w:t>
      </w:r>
      <w:hyperlink r:id="rId5" w:anchor="analytics-noticia:autor" w:history="1">
        <w:r>
          <w:rPr>
            <w:rStyle w:val="Hipervnculo"/>
            <w:b/>
            <w:bCs/>
            <w:caps/>
            <w:color w:val="000000"/>
            <w:bdr w:val="none" w:sz="0" w:space="0" w:color="auto" w:frame="1"/>
          </w:rPr>
          <w:t>AGENCIAS</w:t>
        </w:r>
      </w:hyperlink>
    </w:p>
    <w:p w14:paraId="7E1F1A4B" w14:textId="77777777" w:rsidR="001B1E06" w:rsidRDefault="001B1E06" w:rsidP="001B1E06">
      <w:pPr>
        <w:pStyle w:val="pb-article-item-iteration"/>
        <w:shd w:val="clear" w:color="auto" w:fill="FFFFFF"/>
        <w:spacing w:before="0" w:beforeAutospacing="0" w:after="0" w:afterAutospacing="0" w:line="408" w:lineRule="atLeast"/>
        <w:rPr>
          <w:rFonts w:ascii="Calibri" w:hAnsi="Calibri" w:cs="Calibri"/>
          <w:color w:val="000000"/>
          <w:lang w:val="es-ES"/>
        </w:rPr>
      </w:pPr>
      <w:r>
        <w:rPr>
          <w:rFonts w:ascii="Calibri" w:hAnsi="Calibri" w:cs="Calibri"/>
          <w:color w:val="000000"/>
          <w:lang w:val="es-ES"/>
        </w:rPr>
        <w:t>Un consorcio internacional de científicos ha publicado </w:t>
      </w:r>
      <w:r>
        <w:rPr>
          <w:rFonts w:ascii="Calibri" w:hAnsi="Calibri" w:cs="Calibri"/>
          <w:b/>
          <w:bCs/>
          <w:color w:val="000000"/>
          <w:bdr w:val="none" w:sz="0" w:space="0" w:color="auto" w:frame="1"/>
          <w:lang w:val="es-ES"/>
        </w:rPr>
        <w:t>la primera secuencia completa y sin huecos de un genoma humano.</w:t>
      </w:r>
      <w:r>
        <w:rPr>
          <w:rFonts w:ascii="Calibri" w:hAnsi="Calibri" w:cs="Calibri"/>
          <w:color w:val="000000"/>
          <w:lang w:val="es-ES"/>
        </w:rPr>
        <w:t> La publicación tiene lugar</w:t>
      </w:r>
      <w:r>
        <w:rPr>
          <w:rFonts w:ascii="Calibri" w:hAnsi="Calibri" w:cs="Calibri"/>
          <w:b/>
          <w:bCs/>
          <w:color w:val="000000"/>
          <w:bdr w:val="none" w:sz="0" w:space="0" w:color="auto" w:frame="1"/>
          <w:lang w:val="es-ES"/>
        </w:rPr>
        <w:t> </w:t>
      </w:r>
      <w:r>
        <w:rPr>
          <w:rFonts w:ascii="Calibri" w:hAnsi="Calibri" w:cs="Calibri"/>
          <w:color w:val="000000"/>
          <w:lang w:val="es-ES"/>
        </w:rPr>
        <w:t>dos décadas después de que el Proyecto Genoma Humano produjera el primer borrador de la secuencia del genoma humano en el que se llegó a cartografiar el 92% de este.</w:t>
      </w:r>
    </w:p>
    <w:p w14:paraId="0A409ED1" w14:textId="77777777" w:rsidR="001B1E06" w:rsidRDefault="001B1E06" w:rsidP="001B1E06">
      <w:pPr>
        <w:pStyle w:val="pb-article-item-iteration"/>
        <w:shd w:val="clear" w:color="auto" w:fill="FFFFFF"/>
        <w:spacing w:before="0" w:beforeAutospacing="0" w:after="0" w:afterAutospacing="0" w:line="408" w:lineRule="atLeast"/>
        <w:rPr>
          <w:rFonts w:ascii="Calibri" w:hAnsi="Calibri" w:cs="Calibri"/>
          <w:color w:val="000000"/>
          <w:lang w:val="es-ES"/>
        </w:rPr>
      </w:pPr>
      <w:r>
        <w:rPr>
          <w:rFonts w:ascii="Calibri" w:hAnsi="Calibri" w:cs="Calibri"/>
          <w:color w:val="000000"/>
          <w:lang w:val="es-ES"/>
        </w:rPr>
        <w:t>Según los investigadores, disponer de una secuencia completa y sin huecos de los aproximadamente 3.000 millones de bases (o "letras") de nuestro ADN es fundamental para comprender todo el espectro de </w:t>
      </w:r>
      <w:r>
        <w:rPr>
          <w:rFonts w:ascii="Calibri" w:hAnsi="Calibri" w:cs="Calibri"/>
          <w:b/>
          <w:bCs/>
          <w:color w:val="000000"/>
          <w:bdr w:val="none" w:sz="0" w:space="0" w:color="auto" w:frame="1"/>
          <w:lang w:val="es-ES"/>
        </w:rPr>
        <w:t>la variación genómica humana</w:t>
      </w:r>
      <w:r>
        <w:rPr>
          <w:rFonts w:ascii="Calibri" w:hAnsi="Calibri" w:cs="Calibri"/>
          <w:color w:val="000000"/>
          <w:lang w:val="es-ES"/>
        </w:rPr>
        <w:t>.</w:t>
      </w:r>
    </w:p>
    <w:p w14:paraId="6C197D3B" w14:textId="77777777" w:rsidR="001B1E06" w:rsidRDefault="001B1E06" w:rsidP="001B1E06">
      <w:pPr>
        <w:pStyle w:val="pb-article-item-iteration"/>
        <w:shd w:val="clear" w:color="auto" w:fill="FFFFFF"/>
        <w:spacing w:before="0" w:beforeAutospacing="0" w:after="0" w:afterAutospacing="0" w:line="408" w:lineRule="atLeast"/>
        <w:rPr>
          <w:rFonts w:ascii="Calibri" w:hAnsi="Calibri" w:cs="Calibri"/>
          <w:color w:val="000000"/>
          <w:lang w:val="es-ES"/>
        </w:rPr>
      </w:pPr>
    </w:p>
    <w:p w14:paraId="28E64150" w14:textId="77777777" w:rsidR="001B1E06" w:rsidRDefault="001B1E06" w:rsidP="001B1E06">
      <w:pPr>
        <w:pStyle w:val="pb-article-item-iteration"/>
        <w:shd w:val="clear" w:color="auto" w:fill="FFFFFF"/>
        <w:spacing w:before="0" w:beforeAutospacing="0" w:after="0" w:afterAutospacing="0" w:line="408" w:lineRule="atLeast"/>
        <w:rPr>
          <w:rFonts w:ascii="Calibri" w:hAnsi="Calibri" w:cs="Calibri"/>
          <w:color w:val="000000"/>
          <w:lang w:val="es-ES"/>
        </w:rPr>
      </w:pPr>
      <w:r>
        <w:rPr>
          <w:rFonts w:ascii="Calibri" w:hAnsi="Calibri" w:cs="Calibri"/>
          <w:color w:val="000000"/>
          <w:lang w:val="es-ES"/>
        </w:rPr>
        <w:t>El nuevo mapa completo de nuestro ADN, además de ampliar el conocimiento que se tenía hasta ahora sobre los cromosomas, revela regiones ocultas que </w:t>
      </w:r>
      <w:r>
        <w:rPr>
          <w:rFonts w:ascii="Calibri" w:hAnsi="Calibri" w:cs="Calibri"/>
          <w:b/>
          <w:bCs/>
          <w:color w:val="000000"/>
          <w:bdr w:val="none" w:sz="0" w:space="0" w:color="auto" w:frame="1"/>
          <w:lang w:val="es-ES"/>
        </w:rPr>
        <w:t>ayudarán a entender las enfermedades genéticas</w:t>
      </w:r>
      <w:r>
        <w:rPr>
          <w:rFonts w:ascii="Calibri" w:hAnsi="Calibri" w:cs="Calibri"/>
          <w:color w:val="000000"/>
          <w:lang w:val="es-ES"/>
        </w:rPr>
        <w:t>, la reproducción, </w:t>
      </w:r>
      <w:hyperlink r:id="rId6" w:anchor="analytics-buscador:listado" w:tooltip="Secuencian el genoma de 2.504 personas de los cinco continentes (PÚBLICO)" w:history="1">
        <w:r>
          <w:rPr>
            <w:rStyle w:val="Hipervnculo"/>
            <w:rFonts w:ascii="Calibri" w:hAnsi="Calibri" w:cs="Calibri"/>
            <w:color w:val="auto"/>
            <w:bdr w:val="none" w:sz="0" w:space="0" w:color="auto" w:frame="1"/>
            <w:lang w:val="es-ES"/>
          </w:rPr>
          <w:t>la diversidad humana </w:t>
        </w:r>
      </w:hyperlink>
      <w:r>
        <w:rPr>
          <w:rFonts w:ascii="Calibri" w:hAnsi="Calibri" w:cs="Calibri"/>
          <w:color w:val="000000"/>
          <w:lang w:val="es-ES"/>
        </w:rPr>
        <w:t>e incluso la evolución de nuestra especie.</w:t>
      </w:r>
    </w:p>
    <w:p w14:paraId="24645DBA" w14:textId="77777777" w:rsidR="001B1E06" w:rsidRDefault="001B1E06" w:rsidP="001B1E06">
      <w:pPr>
        <w:pStyle w:val="pb-article-item-iteration"/>
        <w:shd w:val="clear" w:color="auto" w:fill="FFFFFF"/>
        <w:spacing w:before="0" w:beforeAutospacing="0" w:after="300" w:afterAutospacing="0" w:line="408" w:lineRule="atLeast"/>
        <w:rPr>
          <w:rFonts w:ascii="Calibri" w:hAnsi="Calibri" w:cs="Calibri"/>
          <w:color w:val="000000"/>
          <w:lang w:val="es-ES"/>
        </w:rPr>
      </w:pPr>
      <w:r>
        <w:rPr>
          <w:rFonts w:ascii="Calibri" w:hAnsi="Calibri" w:cs="Calibri"/>
          <w:color w:val="000000"/>
          <w:lang w:val="es-ES"/>
        </w:rPr>
        <w:t>En cuanto a los cromosomas, el análisis de la secuencia completa del genoma contribuirá significativamente a nuestro conocimiento sobre el tema. Esto también incluye mapas más precisos de cinco brazos cromosómicos, lo que abre nuevas líneas de investigación. Esto ayuda a responder a preguntas de biología básica sobre cómo los cromosomas se segregan y dividen adecuadamente.</w:t>
      </w:r>
    </w:p>
    <w:p w14:paraId="396C5CDF" w14:textId="77777777" w:rsidR="001B1E06" w:rsidRDefault="001B1E06" w:rsidP="001B1E06">
      <w:pPr>
        <w:pStyle w:val="pb-article-item-iteration"/>
        <w:shd w:val="clear" w:color="auto" w:fill="FFFFFF"/>
        <w:spacing w:before="0" w:beforeAutospacing="0" w:after="0" w:afterAutospacing="0" w:line="408" w:lineRule="atLeast"/>
        <w:rPr>
          <w:rFonts w:ascii="Calibri" w:hAnsi="Calibri" w:cs="Calibri"/>
          <w:color w:val="000000"/>
          <w:lang w:val="es-ES"/>
        </w:rPr>
      </w:pPr>
      <w:r>
        <w:rPr>
          <w:rFonts w:ascii="Calibri" w:hAnsi="Calibri" w:cs="Calibri"/>
          <w:color w:val="000000"/>
          <w:lang w:val="es-ES"/>
        </w:rPr>
        <w:t>El trabajo, publicado en la revista </w:t>
      </w:r>
      <w:proofErr w:type="spellStart"/>
      <w:r>
        <w:rPr>
          <w:rFonts w:ascii="Calibri" w:hAnsi="Calibri" w:cs="Calibri"/>
          <w:i/>
          <w:iCs/>
          <w:color w:val="000000"/>
          <w:bdr w:val="none" w:sz="0" w:space="0" w:color="auto" w:frame="1"/>
          <w:lang w:val="es-ES"/>
        </w:rPr>
        <w:t>Science</w:t>
      </w:r>
      <w:proofErr w:type="spellEnd"/>
      <w:r>
        <w:rPr>
          <w:rFonts w:ascii="Calibri" w:hAnsi="Calibri" w:cs="Calibri"/>
          <w:color w:val="000000"/>
          <w:lang w:val="es-ES"/>
        </w:rPr>
        <w:t>, fue realizado por el consorcio Telómero a Telómero (T2T), con el liderazgo de investigadores del </w:t>
      </w:r>
      <w:r>
        <w:rPr>
          <w:rFonts w:ascii="Calibri" w:hAnsi="Calibri" w:cs="Calibri"/>
          <w:b/>
          <w:bCs/>
          <w:color w:val="000000"/>
          <w:bdr w:val="none" w:sz="0" w:space="0" w:color="auto" w:frame="1"/>
          <w:lang w:val="es-ES"/>
        </w:rPr>
        <w:t>Instituto Nacional de Investigación del Genoma Humano</w:t>
      </w:r>
      <w:r>
        <w:rPr>
          <w:rFonts w:ascii="Calibri" w:hAnsi="Calibri" w:cs="Calibri"/>
          <w:color w:val="000000"/>
          <w:lang w:val="es-ES"/>
        </w:rPr>
        <w:t> (NHGRI), parte de los Institutos Nacionales de Salud, la Universidad de California Santa Cruz y la Universidad de Washington (Estados Unidos). El NHGRI fue el principal financiador del estudio.</w:t>
      </w:r>
    </w:p>
    <w:p w14:paraId="0D33A89D" w14:textId="77777777" w:rsidR="001B1E06" w:rsidRDefault="001B1E06" w:rsidP="001B1E06">
      <w:pPr>
        <w:pStyle w:val="pb-article-item-iteration"/>
        <w:shd w:val="clear" w:color="auto" w:fill="FFFFFF"/>
        <w:spacing w:before="0" w:beforeAutospacing="0" w:after="0" w:afterAutospacing="0" w:line="408" w:lineRule="atLeast"/>
        <w:rPr>
          <w:rFonts w:ascii="Calibri" w:hAnsi="Calibri" w:cs="Calibri"/>
          <w:color w:val="000000"/>
          <w:lang w:val="es-ES"/>
        </w:rPr>
      </w:pPr>
    </w:p>
    <w:p w14:paraId="11D83B19" w14:textId="77777777" w:rsidR="001B1E06" w:rsidRDefault="001B1E06" w:rsidP="001B1E06">
      <w:pPr>
        <w:rPr>
          <w:lang w:val="es-ES"/>
        </w:rPr>
      </w:pPr>
    </w:p>
    <w:p w14:paraId="52266BCA" w14:textId="77777777" w:rsidR="00847D7F" w:rsidRDefault="00847D7F"/>
    <w:p w14:paraId="1473EC02" w14:textId="77777777" w:rsidR="00847D7F" w:rsidRDefault="00847D7F"/>
    <w:p w14:paraId="1760EDCB" w14:textId="77777777" w:rsidR="00847D7F" w:rsidRDefault="00847D7F"/>
    <w:p w14:paraId="21BF6297" w14:textId="77777777" w:rsidR="00847D7F" w:rsidRDefault="00847D7F"/>
    <w:p w14:paraId="21A85AA7" w14:textId="77777777" w:rsidR="00847D7F" w:rsidRDefault="00847D7F"/>
    <w:p w14:paraId="7011CCF4" w14:textId="77777777" w:rsidR="00847D7F" w:rsidRDefault="00847D7F"/>
    <w:p w14:paraId="2C82B376" w14:textId="77777777" w:rsidR="00847D7F" w:rsidRDefault="00847D7F"/>
    <w:sectPr w:rsidR="00847D7F" w:rsidSect="00B05B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FC4"/>
    <w:rsid w:val="000403A2"/>
    <w:rsid w:val="00052CBB"/>
    <w:rsid w:val="0010086E"/>
    <w:rsid w:val="001B1E06"/>
    <w:rsid w:val="002B138B"/>
    <w:rsid w:val="002E45D9"/>
    <w:rsid w:val="00393E7C"/>
    <w:rsid w:val="00652CDA"/>
    <w:rsid w:val="00847D7F"/>
    <w:rsid w:val="00864B5D"/>
    <w:rsid w:val="009C1511"/>
    <w:rsid w:val="00B05B11"/>
    <w:rsid w:val="00CB2FC4"/>
    <w:rsid w:val="00D24857"/>
    <w:rsid w:val="00E41A9D"/>
    <w:rsid w:val="00EA20F3"/>
    <w:rsid w:val="00F35C65"/>
    <w:rsid w:val="00FF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350C5"/>
  <w15:chartTrackingRefBased/>
  <w15:docId w15:val="{F326D34E-7F5E-4469-909D-AAF05C2F9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4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1B1E06"/>
    <w:rPr>
      <w:color w:val="0000FF"/>
      <w:u w:val="single"/>
    </w:rPr>
  </w:style>
  <w:style w:type="paragraph" w:customStyle="1" w:styleId="Firma1">
    <w:name w:val="Firma1"/>
    <w:basedOn w:val="Normal"/>
    <w:rsid w:val="001B1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ca-ES"/>
    </w:rPr>
  </w:style>
  <w:style w:type="paragraph" w:customStyle="1" w:styleId="pb-article-item-iteration">
    <w:name w:val="pb-article-item-iteration"/>
    <w:basedOn w:val="Normal"/>
    <w:rsid w:val="001B1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9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ublico.es/ciencias/secuencian-genoma-504-personas-cinco.html" TargetMode="External"/><Relationship Id="rId5" Type="http://schemas.openxmlformats.org/officeDocument/2006/relationships/hyperlink" Target="https://www.publico.es/author/agencias" TargetMode="External"/><Relationship Id="rId4" Type="http://schemas.openxmlformats.org/officeDocument/2006/relationships/hyperlink" Target="https://www.publico.es/author/publi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 sal sal</dc:creator>
  <cp:keywords/>
  <dc:description/>
  <cp:lastModifiedBy>Antoni sal sal</cp:lastModifiedBy>
  <cp:revision>5</cp:revision>
  <dcterms:created xsi:type="dcterms:W3CDTF">2022-04-03T21:07:00Z</dcterms:created>
  <dcterms:modified xsi:type="dcterms:W3CDTF">2022-04-08T14:17:00Z</dcterms:modified>
</cp:coreProperties>
</file>