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618E" w14:textId="012F0D01" w:rsidR="00675201" w:rsidRDefault="00675201" w:rsidP="00675201">
      <w:pPr>
        <w:spacing w:after="96" w:line="264" w:lineRule="atLeast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ca-ES"/>
        </w:rPr>
      </w:pPr>
      <w:r w:rsidRPr="00675201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ca-ES"/>
        </w:rPr>
        <w:t xml:space="preserve">Les violacions, la punta de l'iceberg de les violències sexuals </w:t>
      </w:r>
      <w:proofErr w:type="spellStart"/>
      <w:r w:rsidRPr="00675201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ca-ES"/>
        </w:rPr>
        <w:t>invisibilitzades</w:t>
      </w:r>
      <w:proofErr w:type="spellEnd"/>
    </w:p>
    <w:p w14:paraId="05129491" w14:textId="531B3208" w:rsidR="00E9376E" w:rsidRDefault="00E9376E" w:rsidP="00675201">
      <w:pPr>
        <w:spacing w:after="96" w:line="264" w:lineRule="atLeast"/>
        <w:outlineLvl w:val="0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Sara González  /  Nació digital</w:t>
      </w:r>
      <w:r w:rsidR="007142C2">
        <w:rPr>
          <w:rFonts w:ascii="Helvetica" w:hAnsi="Helvetica" w:cs="Helvetica"/>
          <w:color w:val="202020"/>
          <w:shd w:val="clear" w:color="auto" w:fill="FFFFFF"/>
        </w:rPr>
        <w:t xml:space="preserve">    //  Textos seleccionats</w:t>
      </w:r>
    </w:p>
    <w:p w14:paraId="61E4BF16" w14:textId="77777777" w:rsidR="00E9376E" w:rsidRPr="00E9376E" w:rsidRDefault="00E9376E" w:rsidP="00675201">
      <w:pPr>
        <w:spacing w:after="96" w:line="264" w:lineRule="atLeast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ca-ES"/>
        </w:rPr>
      </w:pPr>
    </w:p>
    <w:p w14:paraId="31DE78E0" w14:textId="64BD194F" w:rsidR="00675201" w:rsidRPr="00675201" w:rsidRDefault="00675201" w:rsidP="00675201">
      <w:pPr>
        <w:spacing w:after="120" w:line="336" w:lineRule="atLeast"/>
        <w:outlineLvl w:val="1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675201">
        <w:rPr>
          <w:rFonts w:asciiTheme="minorHAnsi" w:eastAsia="Times New Roman" w:hAnsiTheme="minorHAnsi" w:cstheme="minorHAnsi"/>
          <w:sz w:val="28"/>
          <w:szCs w:val="28"/>
          <w:lang w:eastAsia="ca-ES"/>
        </w:rPr>
        <w:t>Les expertes assenyalen que</w:t>
      </w:r>
      <w:r w:rsidR="00643F4A">
        <w:rPr>
          <w:rFonts w:asciiTheme="minorHAnsi" w:eastAsia="Times New Roman" w:hAnsiTheme="minorHAnsi" w:cstheme="minorHAnsi"/>
          <w:sz w:val="28"/>
          <w:szCs w:val="28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sz w:val="28"/>
          <w:szCs w:val="28"/>
          <w:lang w:eastAsia="ca-ES"/>
        </w:rPr>
        <w:t xml:space="preserve"> en més del 80% dels casos</w:t>
      </w:r>
      <w:r w:rsidR="00643F4A">
        <w:rPr>
          <w:rFonts w:asciiTheme="minorHAnsi" w:eastAsia="Times New Roman" w:hAnsiTheme="minorHAnsi" w:cstheme="minorHAnsi"/>
          <w:sz w:val="28"/>
          <w:szCs w:val="28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sz w:val="28"/>
          <w:szCs w:val="28"/>
          <w:lang w:eastAsia="ca-ES"/>
        </w:rPr>
        <w:t xml:space="preserve"> els agressors són coneguts de la víctima</w:t>
      </w:r>
      <w:r w:rsidR="00643F4A">
        <w:rPr>
          <w:rFonts w:asciiTheme="minorHAnsi" w:eastAsia="Times New Roman" w:hAnsiTheme="minorHAnsi" w:cstheme="minorHAnsi"/>
          <w:sz w:val="28"/>
          <w:szCs w:val="28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sz w:val="28"/>
          <w:szCs w:val="28"/>
          <w:lang w:eastAsia="ca-ES"/>
        </w:rPr>
        <w:t xml:space="preserve"> i que hi ha conductes </w:t>
      </w:r>
      <w:r w:rsidR="00643F4A">
        <w:rPr>
          <w:rFonts w:asciiTheme="minorHAnsi" w:eastAsia="Times New Roman" w:hAnsiTheme="minorHAnsi" w:cstheme="minorHAnsi"/>
          <w:sz w:val="28"/>
          <w:szCs w:val="28"/>
          <w:lang w:eastAsia="ca-ES"/>
        </w:rPr>
        <w:t xml:space="preserve">agressives </w:t>
      </w:r>
      <w:r w:rsidRPr="00675201">
        <w:rPr>
          <w:rFonts w:asciiTheme="minorHAnsi" w:eastAsia="Times New Roman" w:hAnsiTheme="minorHAnsi" w:cstheme="minorHAnsi"/>
          <w:sz w:val="28"/>
          <w:szCs w:val="28"/>
          <w:lang w:eastAsia="ca-ES"/>
        </w:rPr>
        <w:t>socialment "normalitzades"</w:t>
      </w:r>
      <w:r w:rsidR="00643F4A">
        <w:rPr>
          <w:rFonts w:asciiTheme="minorHAnsi" w:eastAsia="Times New Roman" w:hAnsiTheme="minorHAnsi" w:cstheme="minorHAnsi"/>
          <w:sz w:val="28"/>
          <w:szCs w:val="28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sz w:val="28"/>
          <w:szCs w:val="28"/>
          <w:lang w:eastAsia="ca-ES"/>
        </w:rPr>
        <w:t xml:space="preserve"> per falta d'una educació </w:t>
      </w:r>
      <w:proofErr w:type="spellStart"/>
      <w:r w:rsidRPr="00675201">
        <w:rPr>
          <w:rFonts w:asciiTheme="minorHAnsi" w:eastAsia="Times New Roman" w:hAnsiTheme="minorHAnsi" w:cstheme="minorHAnsi"/>
          <w:sz w:val="28"/>
          <w:szCs w:val="28"/>
          <w:lang w:eastAsia="ca-ES"/>
        </w:rPr>
        <w:t>socio</w:t>
      </w:r>
      <w:proofErr w:type="spellEnd"/>
      <w:r w:rsidRPr="00675201">
        <w:rPr>
          <w:rFonts w:asciiTheme="minorHAnsi" w:eastAsia="Times New Roman" w:hAnsiTheme="minorHAnsi" w:cstheme="minorHAnsi"/>
          <w:sz w:val="28"/>
          <w:szCs w:val="28"/>
          <w:lang w:eastAsia="ca-ES"/>
        </w:rPr>
        <w:t>-afectiva que trenqui rols de gènere</w:t>
      </w:r>
    </w:p>
    <w:p w14:paraId="05A9ADE4" w14:textId="519BCCFA" w:rsidR="00675201" w:rsidRPr="00643F4A" w:rsidRDefault="00675201" w:rsidP="00643F4A">
      <w:pPr>
        <w:spacing w:line="360" w:lineRule="atLeast"/>
        <w:rPr>
          <w:rFonts w:ascii="Times New Roman" w:eastAsia="Times New Roman" w:hAnsi="Times New Roman" w:cs="Times New Roman"/>
          <w:color w:val="888888"/>
          <w:sz w:val="22"/>
          <w:szCs w:val="22"/>
          <w:lang w:eastAsia="ca-ES"/>
        </w:rPr>
      </w:pPr>
      <w:r w:rsidRPr="00F73D35">
        <w:rPr>
          <w:rFonts w:ascii="Times New Roman" w:eastAsia="Times New Roman" w:hAnsi="Times New Roman" w:cs="Times New Roman"/>
          <w:sz w:val="22"/>
          <w:szCs w:val="22"/>
          <w:lang w:eastAsia="ca-ES"/>
        </w:rPr>
        <w:t> </w:t>
      </w:r>
      <w:r w:rsidRPr="00F73D35">
        <w:rPr>
          <w:rFonts w:asciiTheme="minorHAnsi" w:eastAsia="Times New Roman" w:hAnsiTheme="minorHAnsi" w:cstheme="minorHAnsi"/>
          <w:shd w:val="clear" w:color="auto" w:fill="FFFFFF"/>
          <w:lang w:eastAsia="ca-ES"/>
        </w:rPr>
        <w:t>La </w:t>
      </w:r>
      <w:hyperlink r:id="rId4" w:tgtFrame="_blank" w:history="1">
        <w:r w:rsidRPr="00F73D35">
          <w:rPr>
            <w:rFonts w:asciiTheme="minorHAnsi" w:eastAsia="Times New Roman" w:hAnsiTheme="minorHAnsi" w:cstheme="minorHAnsi"/>
            <w:shd w:val="clear" w:color="auto" w:fill="FFFFFF"/>
            <w:lang w:eastAsia="ca-ES"/>
          </w:rPr>
          <w:t>brutal </w:t>
        </w:r>
        <w:r w:rsidRPr="00F73D35">
          <w:rPr>
            <w:rFonts w:asciiTheme="minorHAnsi" w:eastAsia="Times New Roman" w:hAnsiTheme="minorHAnsi" w:cstheme="minorHAnsi"/>
            <w:b/>
            <w:bCs/>
            <w:shd w:val="clear" w:color="auto" w:fill="FFFFFF"/>
            <w:lang w:eastAsia="ca-ES"/>
          </w:rPr>
          <w:t>agressió sexual</w:t>
        </w:r>
        <w:r w:rsidRPr="00F73D35">
          <w:rPr>
            <w:rFonts w:asciiTheme="minorHAnsi" w:eastAsia="Times New Roman" w:hAnsiTheme="minorHAnsi" w:cstheme="minorHAnsi"/>
            <w:shd w:val="clear" w:color="auto" w:fill="FFFFFF"/>
            <w:lang w:eastAsia="ca-ES"/>
          </w:rPr>
          <w:t> que va patir la nit de Tots els Sants una jove de 16 anys a Igualada</w:t>
        </w:r>
      </w:hyperlink>
      <w:r w:rsidRPr="00F73D35">
        <w:rPr>
          <w:rFonts w:asciiTheme="minorHAnsi" w:eastAsia="Times New Roman" w:hAnsiTheme="minorHAnsi" w:cstheme="minorHAnsi"/>
          <w:shd w:val="clear" w:color="auto" w:fill="FFFFFF"/>
          <w:lang w:eastAsia="ca-ES"/>
        </w:rPr>
        <w:t> i </w:t>
      </w:r>
      <w:hyperlink r:id="rId5" w:tgtFrame="_blank" w:history="1">
        <w:r w:rsidRPr="00F73D35">
          <w:rPr>
            <w:rFonts w:asciiTheme="minorHAnsi" w:eastAsia="Times New Roman" w:hAnsiTheme="minorHAnsi" w:cstheme="minorHAnsi"/>
            <w:shd w:val="clear" w:color="auto" w:fill="FFFFFF"/>
            <w:lang w:eastAsia="ca-ES"/>
          </w:rPr>
          <w:t>una altra aquest divendres a Lleida </w:t>
        </w:r>
      </w:hyperlink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evidencien de nou fins a quin punt és urgent afrontar les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 violències que pateixen les dones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. No es tracta d'un cas aïllat, les dades retraten la magnitud de l'alarma. A Catalunya, aquest any</w:t>
      </w:r>
      <w:r w:rsidR="00643F4A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s'han denunciat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 804 agressions sexuals</w:t>
      </w:r>
      <w:r w:rsidR="00643F4A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 xml:space="preserve"> i un 8,7% d'aquestes han estat violacions grupals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, segons dades de la </w:t>
      </w:r>
      <w:r w:rsidR="00643F4A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C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onselleria d'Interior. Una xifra que s'agreuja davant la constatació, a partir de múltiples enquestes, que només en el 10% dels casos la víctima denuncia. En què s'està fallant</w:t>
      </w:r>
      <w:r w:rsidR="00643F4A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perquè agressions d'aquest tipus es continuïn produint? On s'ha d'incidir per afrontar la violència sexual, el tipus de violència que més afecta les dones?</w:t>
      </w:r>
      <w:r w:rsidRPr="00675201">
        <w:rPr>
          <w:rFonts w:asciiTheme="minorHAnsi" w:eastAsia="Times New Roman" w:hAnsiTheme="minorHAnsi" w:cstheme="minorHAnsi"/>
          <w:color w:val="333333"/>
          <w:lang w:eastAsia="ca-ES"/>
        </w:rPr>
        <w:br/>
      </w:r>
      <w:r w:rsidRPr="00675201">
        <w:rPr>
          <w:rFonts w:asciiTheme="minorHAnsi" w:eastAsia="Times New Roman" w:hAnsiTheme="minorHAnsi" w:cstheme="minorHAnsi"/>
          <w:color w:val="333333"/>
          <w:lang w:eastAsia="ca-ES"/>
        </w:rPr>
        <w:br/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La sociòloga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Sara Moreno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situa quin és el marc general d'aquesta xacra social</w:t>
      </w:r>
      <w:r w:rsidR="00643F4A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que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"persisteix com una gota malaia"</w:t>
      </w:r>
      <w:r w:rsidR="00643F4A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malgrat que des de l'àmbit institucional s'han impulsat polítiques públiques i iniciatives</w:t>
      </w:r>
      <w:r w:rsidR="00643F4A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i malgrat que des de l'àmbit educatiu s'intenta revertir. "És un problema de base estructural i arrel social.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El gran repte és canviar imaginaris socials.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Poden canviar els discursos i les lleis, però no forçosament es produeixen canvis d’imaginari"</w:t>
      </w:r>
      <w:r w:rsidR="00643F4A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[d’opinió]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 adverteix.</w:t>
      </w:r>
    </w:p>
    <w:p w14:paraId="098DFD9D" w14:textId="7193E8EE" w:rsidR="00675201" w:rsidRPr="00643F4A" w:rsidRDefault="00675201" w:rsidP="00675201">
      <w:pPr>
        <w:spacing w:after="0" w:line="408" w:lineRule="atLeast"/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</w:pP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Les expertes apunten a múltiples factors, començant per la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falta de consciència social, 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clau precisament</w:t>
      </w:r>
      <w:r w:rsidR="00643F4A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necessària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per promoure canvis estructurals. "Hem d'identificar</w:t>
      </w:r>
      <w:r w:rsidR="00643F4A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com a societat</w:t>
      </w:r>
      <w:r w:rsidR="00643F4A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que aquests casos, com la violació d'Igualada, són la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punta de l'iceberg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d'unes </w:t>
      </w:r>
      <w:r w:rsidR="00643F4A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violènci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 xml:space="preserve">es àmpliament acceptades i </w:t>
      </w:r>
      <w:proofErr w:type="spellStart"/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invisibilitzades</w:t>
      </w:r>
      <w:proofErr w:type="spellEnd"/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", avisa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 xml:space="preserve">Alba </w:t>
      </w:r>
      <w:proofErr w:type="spellStart"/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Alfageme</w:t>
      </w:r>
      <w:proofErr w:type="spellEnd"/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 psicòloga especialitzada en violències masclistes. En aquesta mateixa línia s'expressa l'advocada penalista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Carla Vall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 que argumenta que socialment es tendeix a voler afrontar les violències contra les dones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 "des de l</w:t>
      </w:r>
      <w:r w:rsidR="001209B0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 xml:space="preserve">a 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distància"</w:t>
      </w:r>
      <w:r w:rsidR="001209B0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 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individualitzant conductes </w:t>
      </w:r>
      <w:r w:rsidR="001209B0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de “certes” persones, 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i no identificant la situació </w:t>
      </w:r>
      <w:r w:rsidR="001209B0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de tolerància social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. "Es busca un boc expiatori que no ens suposi contradiccions personals, però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quan són agressors coneguts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molt poca gent està disposada a intervenir per canviar les coses", apunta.</w:t>
      </w:r>
    </w:p>
    <w:p w14:paraId="0EAD0803" w14:textId="18140FA6" w:rsidR="00675201" w:rsidRPr="00675201" w:rsidRDefault="00675201" w:rsidP="007142C2">
      <w:pPr>
        <w:spacing w:after="0" w:line="408" w:lineRule="atLeast"/>
        <w:rPr>
          <w:rFonts w:asciiTheme="minorHAnsi" w:eastAsia="Times New Roman" w:hAnsiTheme="minorHAnsi" w:cstheme="minorHAnsi"/>
          <w:color w:val="333333"/>
          <w:lang w:eastAsia="ca-ES"/>
        </w:rPr>
      </w:pP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lastRenderedPageBreak/>
        <w:t>Esbossen, d'entrada, dues realitats: la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 xml:space="preserve">falta d'educació </w:t>
      </w:r>
      <w:proofErr w:type="spellStart"/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afectivo</w:t>
      </w:r>
      <w:proofErr w:type="spellEnd"/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-sexual 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i el fet que el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85% dels agressors són persones conegudes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per la víctima. Pel que fa a la primera</w:t>
      </w:r>
      <w:r w:rsidR="008F1EFF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qüestió, 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es constata que parlar de sexe continua sent un gran tabú a la nostra societat i, per tant, també en l'etapa educativa.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 "La falta d'educació sexual acaba portant violència sexual"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, diagnostica </w:t>
      </w:r>
      <w:proofErr w:type="spellStart"/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Alfageme</w:t>
      </w:r>
      <w:proofErr w:type="spellEnd"/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. Per una banda, assenyala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"l'educació en la por"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que s'inculca a les dones</w:t>
      </w:r>
      <w:r w:rsidR="008F1EFF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(</w:t>
      </w:r>
      <w:r w:rsidR="00584178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“</w:t>
      </w:r>
      <w:r w:rsidR="008F1EFF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no surtis, no passis p</w:t>
      </w:r>
      <w:r w:rsidR="00584178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e</w:t>
      </w:r>
      <w:r w:rsidR="008F1EFF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r tal lloc, no vesteixis així...</w:t>
      </w:r>
      <w:r w:rsidR="00584178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”</w:t>
      </w:r>
      <w:r w:rsidR="008F1EFF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)</w:t>
      </w:r>
      <w:r w:rsidR="00584178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. 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</w:t>
      </w:r>
      <w:r w:rsidR="00584178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Aquesta mala educació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acaba sent el caldo de cultiu del sentiment de culpa </w:t>
      </w:r>
      <w:r w:rsidR="00584178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de la víctima, que acaba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assumint la responsabilitat d'allò que </w:t>
      </w:r>
      <w:r w:rsidR="00584178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li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passa, fet que arrossega les víctimes a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l'estigma</w:t>
      </w:r>
      <w:r w:rsidR="00584178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 xml:space="preserve"> i a la no denúncia per temor a represàlies</w:t>
      </w:r>
      <w:r w:rsidR="00584178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.</w:t>
      </w:r>
      <w:r w:rsidRPr="00675201">
        <w:rPr>
          <w:rFonts w:asciiTheme="minorHAnsi" w:eastAsia="Times New Roman" w:hAnsiTheme="minorHAnsi" w:cstheme="minorHAnsi"/>
          <w:color w:val="333333"/>
          <w:lang w:eastAsia="ca-ES"/>
        </w:rPr>
        <w:br/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Pel que fa a les violències sexuals múltiples, entra en joc, relata, el vincle que es genera en un context col·lectiu, que fa que s'associï a un "sentiment de més poder".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 Entre el 10% i el 30% de les agressions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, detalla </w:t>
      </w:r>
      <w:proofErr w:type="spellStart"/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Alfageme</w:t>
      </w:r>
      <w:proofErr w:type="spellEnd"/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 tenen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més d'un autor i de perfil molt jove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.  </w:t>
      </w:r>
      <w:r w:rsidRPr="00675201">
        <w:rPr>
          <w:rFonts w:asciiTheme="minorHAnsi" w:eastAsia="Times New Roman" w:hAnsiTheme="minorHAnsi" w:cstheme="minorHAnsi"/>
          <w:color w:val="333333"/>
          <w:lang w:eastAsia="ca-ES"/>
        </w:rPr>
        <w:br/>
      </w:r>
      <w:r w:rsidRPr="00A82CCD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Joan Roa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 psicòleg i professor de la UDG i la UOC, assenyala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el patró de "masculinitat hegemònica tradicional"</w:t>
      </w:r>
      <w:r w:rsidR="00584178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 com un dels principals precursors de les violències sexuals. Es tracta d'un model que es transmet de pares a fills, que "es perpetua" i que pivota en la "no demostració de </w:t>
      </w:r>
      <w:r w:rsidR="007142C2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cap mena de 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vulnerabilitat"</w:t>
      </w:r>
      <w:r w:rsidR="00584178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per encaixar en el rol de la majoria d'homes</w:t>
      </w:r>
      <w:r w:rsidR="007142C2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.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La conseqüència és una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actitud de "dominació sobre la dona"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.</w:t>
      </w:r>
      <w:r w:rsidRPr="00675201">
        <w:rPr>
          <w:rFonts w:asciiTheme="minorHAnsi" w:eastAsia="Times New Roman" w:hAnsiTheme="minorHAnsi" w:cstheme="minorHAnsi"/>
          <w:color w:val="333333"/>
          <w:lang w:eastAsia="ca-ES"/>
        </w:rPr>
        <w:br/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Es tracta, relata, d'un patró encara molt present, especialment en l'àmbit col·lectiu, que és molt difícil de desmuntar. "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 xml:space="preserve">Les agressions són la punta de l'iceberg dels </w:t>
      </w:r>
      <w:proofErr w:type="spellStart"/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micromasclismes</w:t>
      </w:r>
      <w:proofErr w:type="spellEnd"/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 les coses que es van tolerant i que cap home s’atreveix a trencar.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 xml:space="preserve">Costa </w:t>
      </w:r>
      <w:r w:rsidR="007142C2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 xml:space="preserve">molt 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veure l’impacte de les coses més subtils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", </w:t>
      </w:r>
      <w:r w:rsidR="007142C2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com ara les bromes a les dones, 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afirma. </w:t>
      </w:r>
      <w:r w:rsidRPr="00675201">
        <w:rPr>
          <w:rFonts w:asciiTheme="minorHAnsi" w:eastAsia="Times New Roman" w:hAnsiTheme="minorHAnsi" w:cstheme="minorHAnsi"/>
          <w:color w:val="333333"/>
          <w:lang w:eastAsia="ca-ES"/>
        </w:rPr>
        <w:br/>
      </w:r>
      <w:r w:rsidRPr="00BC0793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Moreno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argumenta que és precisament la persistència en la 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reproducció d'estereotips de gènere 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en l'àmbit quotidià, laboral, educatiu, científic i mediàtic "la base que reforça el mecanisme de subordinació i explotació" de l'home respecte</w:t>
      </w:r>
      <w:r w:rsidR="00E11F02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a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la dona. La dificultat per combatre aquests rols és la que promou, adverteix,</w:t>
      </w:r>
      <w:r w:rsidRPr="00675201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 "certa tolerància social amb determinats comportaments"</w:t>
      </w:r>
      <w:r w:rsidRPr="00675201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que es poden localitzar en converses quotidianes i en expressions utilitzades en mitjans de comunicació i en l'àmbit educatiu</w:t>
      </w:r>
      <w:r w:rsidR="007142C2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.</w:t>
      </w:r>
    </w:p>
    <w:p w14:paraId="16E1C873" w14:textId="77777777" w:rsidR="0010086E" w:rsidRPr="00675201" w:rsidRDefault="0010086E">
      <w:pPr>
        <w:rPr>
          <w:rFonts w:asciiTheme="minorHAnsi" w:hAnsiTheme="minorHAnsi" w:cstheme="minorHAnsi"/>
        </w:rPr>
      </w:pPr>
    </w:p>
    <w:sectPr w:rsidR="0010086E" w:rsidRPr="00675201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01"/>
    <w:rsid w:val="0010086E"/>
    <w:rsid w:val="001209B0"/>
    <w:rsid w:val="00584178"/>
    <w:rsid w:val="00643F4A"/>
    <w:rsid w:val="00675201"/>
    <w:rsid w:val="007142C2"/>
    <w:rsid w:val="008A5FC7"/>
    <w:rsid w:val="008F1EFF"/>
    <w:rsid w:val="00A82CCD"/>
    <w:rsid w:val="00B05B11"/>
    <w:rsid w:val="00BC0793"/>
    <w:rsid w:val="00E11F02"/>
    <w:rsid w:val="00E9376E"/>
    <w:rsid w:val="00F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549F"/>
  <w15:chartTrackingRefBased/>
  <w15:docId w15:val="{882694D7-13F0-4255-A948-09AA7AF3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91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3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6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1F1F1"/>
                    <w:right w:val="none" w:sz="0" w:space="0" w:color="auto"/>
                  </w:divBdr>
                </w:div>
              </w:divsChild>
            </w:div>
            <w:div w:id="130581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37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275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0014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0962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973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ciodigital.cat/noticia/226587/detingut-un-home-violar-dona-entorn-seu-vella-lleida" TargetMode="External"/><Relationship Id="rId4" Type="http://schemas.openxmlformats.org/officeDocument/2006/relationships/hyperlink" Target="https://www.naciodigital.cat/noticia/226494/ingressada-estat-greu-violada-igualada-menor-16-any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8</cp:revision>
  <dcterms:created xsi:type="dcterms:W3CDTF">2021-11-08T14:37:00Z</dcterms:created>
  <dcterms:modified xsi:type="dcterms:W3CDTF">2022-02-27T20:53:00Z</dcterms:modified>
</cp:coreProperties>
</file>