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232" w14:textId="5494E575" w:rsidR="008032D4" w:rsidRDefault="008032D4" w:rsidP="008343B0">
      <w:pPr>
        <w:spacing w:after="0" w:line="240" w:lineRule="auto"/>
        <w:rPr>
          <w:sz w:val="40"/>
          <w:szCs w:val="40"/>
        </w:rPr>
      </w:pPr>
      <w:r w:rsidRPr="008032D4">
        <w:rPr>
          <w:sz w:val="40"/>
          <w:szCs w:val="40"/>
        </w:rPr>
        <w:t>Gran emergència humanitària, per violència sexual</w:t>
      </w:r>
    </w:p>
    <w:p w14:paraId="6F338F38" w14:textId="77777777" w:rsidR="006B0798" w:rsidRPr="006B0798" w:rsidRDefault="006B0798" w:rsidP="008343B0">
      <w:pPr>
        <w:spacing w:after="0" w:line="240" w:lineRule="auto"/>
      </w:pPr>
    </w:p>
    <w:p w14:paraId="045852C4" w14:textId="69CE521B" w:rsidR="006B0798" w:rsidRPr="00066971" w:rsidRDefault="00066971" w:rsidP="00D30CA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6971">
        <w:rPr>
          <w:rFonts w:asciiTheme="minorHAnsi" w:hAnsiTheme="minorHAnsi" w:cstheme="minorHAnsi"/>
        </w:rPr>
        <w:t xml:space="preserve">La geografia </w:t>
      </w:r>
      <w:r>
        <w:rPr>
          <w:rFonts w:asciiTheme="minorHAnsi" w:hAnsiTheme="minorHAnsi" w:cstheme="minorHAnsi"/>
        </w:rPr>
        <w:t xml:space="preserve">mundial </w:t>
      </w:r>
      <w:r w:rsidRPr="00066971">
        <w:rPr>
          <w:rFonts w:asciiTheme="minorHAnsi" w:hAnsiTheme="minorHAnsi" w:cstheme="minorHAnsi"/>
        </w:rPr>
        <w:t>de les zones amb més gravetat de la violència sexual (segons informacions escassíssimes, com si el problema no tingués gaire importància)</w:t>
      </w:r>
      <w:r>
        <w:rPr>
          <w:rFonts w:asciiTheme="minorHAnsi" w:hAnsiTheme="minorHAnsi" w:cstheme="minorHAnsi"/>
        </w:rPr>
        <w:t xml:space="preserve"> són Àfrica en general, Índia i Brasil</w:t>
      </w:r>
      <w:r w:rsidR="00A67C9F">
        <w:rPr>
          <w:rFonts w:asciiTheme="minorHAnsi" w:hAnsiTheme="minorHAnsi" w:cstheme="minorHAnsi"/>
        </w:rPr>
        <w:t>, tot i ser una plaga mundial</w:t>
      </w:r>
      <w:r>
        <w:rPr>
          <w:rFonts w:asciiTheme="minorHAnsi" w:hAnsiTheme="minorHAnsi" w:cstheme="minorHAnsi"/>
        </w:rPr>
        <w:t>. Però la zona més gravíssima és la regió oriental de la República Democràtica del Congo. És zona de mines, que, lluny de poder ser un factor de progrés</w:t>
      </w:r>
      <w:r w:rsidR="00AD767D">
        <w:rPr>
          <w:rFonts w:asciiTheme="minorHAnsi" w:hAnsiTheme="minorHAnsi" w:cstheme="minorHAnsi"/>
        </w:rPr>
        <w:t xml:space="preserve"> del país</w:t>
      </w:r>
      <w:r>
        <w:rPr>
          <w:rFonts w:asciiTheme="minorHAnsi" w:hAnsiTheme="minorHAnsi" w:cstheme="minorHAnsi"/>
        </w:rPr>
        <w:t xml:space="preserve">, són una maledicció, perquè grups armats es disputen els seus beneficis. Increïblement, una de les </w:t>
      </w:r>
      <w:r w:rsidR="00AD767D">
        <w:rPr>
          <w:rFonts w:asciiTheme="minorHAnsi" w:hAnsiTheme="minorHAnsi" w:cstheme="minorHAnsi"/>
        </w:rPr>
        <w:t>arm</w:t>
      </w:r>
      <w:r>
        <w:rPr>
          <w:rFonts w:asciiTheme="minorHAnsi" w:hAnsiTheme="minorHAnsi" w:cstheme="minorHAnsi"/>
        </w:rPr>
        <w:t>es més usades pels soldats és la violació sistemàtica de  dones i nenes del grup contrari</w:t>
      </w:r>
      <w:r w:rsidR="009423E3">
        <w:rPr>
          <w:rFonts w:asciiTheme="minorHAnsi" w:hAnsiTheme="minorHAnsi" w:cstheme="minorHAnsi"/>
        </w:rPr>
        <w:t xml:space="preserve">, per tal de trencar famílies i </w:t>
      </w:r>
      <w:r w:rsidR="00A67C9F">
        <w:rPr>
          <w:rFonts w:asciiTheme="minorHAnsi" w:hAnsiTheme="minorHAnsi" w:cstheme="minorHAnsi"/>
        </w:rPr>
        <w:t xml:space="preserve">trencar </w:t>
      </w:r>
      <w:r w:rsidR="009423E3">
        <w:rPr>
          <w:rFonts w:asciiTheme="minorHAnsi" w:hAnsiTheme="minorHAnsi" w:cstheme="minorHAnsi"/>
        </w:rPr>
        <w:t xml:space="preserve">la cohesió de grup. </w:t>
      </w:r>
      <w:r w:rsidR="0002442A">
        <w:rPr>
          <w:rFonts w:asciiTheme="minorHAnsi" w:hAnsiTheme="minorHAnsi" w:cstheme="minorHAnsi"/>
        </w:rPr>
        <w:t>En u</w:t>
      </w:r>
      <w:r w:rsidR="009423E3">
        <w:rPr>
          <w:rFonts w:asciiTheme="minorHAnsi" w:hAnsiTheme="minorHAnsi" w:cstheme="minorHAnsi"/>
        </w:rPr>
        <w:t>n moment</w:t>
      </w:r>
      <w:r w:rsidR="007B6D18">
        <w:rPr>
          <w:rFonts w:asciiTheme="minorHAnsi" w:hAnsiTheme="minorHAnsi" w:cstheme="minorHAnsi"/>
        </w:rPr>
        <w:t xml:space="preserve"> donat</w:t>
      </w:r>
      <w:r w:rsidR="009423E3">
        <w:rPr>
          <w:rFonts w:asciiTheme="minorHAnsi" w:hAnsiTheme="minorHAnsi" w:cstheme="minorHAnsi"/>
        </w:rPr>
        <w:t xml:space="preserve">, el criminal Kabyla, que feia de president, va ordenar una forta actuació militar en la zona per erradicar aquest problema. No en sabem el resultat, però ara, segons informacions </w:t>
      </w:r>
      <w:r w:rsidR="00711239">
        <w:rPr>
          <w:rFonts w:asciiTheme="minorHAnsi" w:hAnsiTheme="minorHAnsi" w:cstheme="minorHAnsi"/>
        </w:rPr>
        <w:t xml:space="preserve">sempre </w:t>
      </w:r>
      <w:r w:rsidR="009423E3">
        <w:rPr>
          <w:rFonts w:asciiTheme="minorHAnsi" w:hAnsiTheme="minorHAnsi" w:cstheme="minorHAnsi"/>
        </w:rPr>
        <w:t>escassíssimes, sembla que tot continua igual, però ja no per part de soldats</w:t>
      </w:r>
      <w:r w:rsidR="00282EE0">
        <w:rPr>
          <w:rFonts w:asciiTheme="minorHAnsi" w:hAnsiTheme="minorHAnsi" w:cstheme="minorHAnsi"/>
        </w:rPr>
        <w:t>,</w:t>
      </w:r>
      <w:r w:rsidR="009423E3">
        <w:rPr>
          <w:rFonts w:asciiTheme="minorHAnsi" w:hAnsiTheme="minorHAnsi" w:cstheme="minorHAnsi"/>
        </w:rPr>
        <w:t xml:space="preserve"> sinó també </w:t>
      </w:r>
      <w:r w:rsidR="004335DD">
        <w:rPr>
          <w:rFonts w:asciiTheme="minorHAnsi" w:hAnsiTheme="minorHAnsi" w:cstheme="minorHAnsi"/>
        </w:rPr>
        <w:t xml:space="preserve">per part </w:t>
      </w:r>
      <w:r w:rsidR="009423E3">
        <w:rPr>
          <w:rFonts w:asciiTheme="minorHAnsi" w:hAnsiTheme="minorHAnsi" w:cstheme="minorHAnsi"/>
        </w:rPr>
        <w:t>d’homes i nois que no ho són. Ens en parla Metges sense Fronteres:</w:t>
      </w:r>
    </w:p>
    <w:p w14:paraId="06483681" w14:textId="77777777" w:rsidR="006B0798" w:rsidRPr="00066971" w:rsidRDefault="006B0798" w:rsidP="00D30CA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511F1" w14:textId="1E191A08" w:rsidR="008343B0" w:rsidRPr="008032D4" w:rsidRDefault="00A67C9F" w:rsidP="008343B0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</w:pPr>
      <w:hyperlink r:id="rId5" w:history="1">
        <w:r w:rsidR="008343B0" w:rsidRPr="008032D4">
          <w:rPr>
            <w:rFonts w:asciiTheme="minorHAnsi" w:eastAsia="Times New Roman" w:hAnsiTheme="minorHAnsi" w:cstheme="minorHAnsi"/>
            <w:color w:val="337AB7"/>
            <w:sz w:val="28"/>
            <w:szCs w:val="28"/>
            <w:u w:val="single"/>
            <w:lang w:val="es-ES" w:eastAsia="ca-ES"/>
          </w:rPr>
          <w:t>Guillermo Algar González</w:t>
        </w:r>
      </w:hyperlink>
      <w:r w:rsidR="008343B0" w:rsidRPr="008032D4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 | </w:t>
      </w:r>
      <w:r w:rsidR="008343B0" w:rsidRPr="008032D4">
        <w:rPr>
          <w:rFonts w:asciiTheme="minorHAnsi" w:eastAsia="Times New Roman" w:hAnsiTheme="minorHAnsi" w:cstheme="minorHAnsi"/>
          <w:color w:val="3B5C58"/>
          <w:sz w:val="28"/>
          <w:szCs w:val="28"/>
          <w:lang w:val="es-ES" w:eastAsia="ca-ES"/>
        </w:rPr>
        <w:t>16/07/2021</w:t>
      </w:r>
      <w:r w:rsidR="008343B0" w:rsidRPr="008032D4">
        <w:rPr>
          <w:rFonts w:asciiTheme="minorHAnsi" w:eastAsia="Times New Roman" w:hAnsiTheme="minorHAnsi" w:cstheme="minorHAnsi"/>
          <w:sz w:val="28"/>
          <w:szCs w:val="28"/>
          <w:lang w:val="es-ES" w:eastAsia="ca-ES"/>
        </w:rPr>
        <w:t> | </w:t>
      </w:r>
      <w:hyperlink r:id="rId6" w:history="1">
        <w:r w:rsidR="008343B0" w:rsidRPr="008032D4">
          <w:rPr>
            <w:rFonts w:asciiTheme="minorHAnsi" w:eastAsia="Times New Roman" w:hAnsiTheme="minorHAnsi" w:cstheme="minorHAnsi"/>
            <w:color w:val="337AB7"/>
            <w:sz w:val="28"/>
            <w:szCs w:val="28"/>
            <w:u w:val="single"/>
            <w:lang w:val="es-ES" w:eastAsia="ca-ES"/>
          </w:rPr>
          <w:t>África</w:t>
        </w:r>
      </w:hyperlink>
    </w:p>
    <w:p w14:paraId="428E1122" w14:textId="6C5FCA44" w:rsidR="008343B0" w:rsidRPr="008343B0" w:rsidRDefault="008343B0" w:rsidP="008343B0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</w:p>
    <w:p w14:paraId="102355A2" w14:textId="745D8877" w:rsidR="00066971" w:rsidRPr="00A372E4" w:rsidRDefault="008343B0" w:rsidP="00066971">
      <w:pPr>
        <w:spacing w:line="240" w:lineRule="auto"/>
        <w:rPr>
          <w:rFonts w:asciiTheme="minorHAnsi" w:eastAsia="Times New Roman" w:hAnsiTheme="minorHAnsi" w:cstheme="minorHAnsi"/>
          <w:lang w:val="es-ES" w:eastAsia="ca-ES"/>
        </w:rPr>
      </w:pPr>
      <w:r w:rsidRPr="00A372E4">
        <w:rPr>
          <w:rFonts w:asciiTheme="minorHAnsi" w:eastAsia="Times New Roman" w:hAnsiTheme="minorHAnsi" w:cstheme="minorHAnsi"/>
          <w:b/>
          <w:bCs/>
          <w:lang w:val="es-ES" w:eastAsia="ca-ES"/>
        </w:rPr>
        <w:t>Fuentes: </w:t>
      </w:r>
      <w:r w:rsidRPr="00A372E4">
        <w:rPr>
          <w:rFonts w:asciiTheme="minorHAnsi" w:eastAsia="Times New Roman" w:hAnsiTheme="minorHAnsi" w:cstheme="minorHAnsi"/>
          <w:lang w:val="es-ES" w:eastAsia="ca-ES"/>
        </w:rPr>
        <w:t>MSF</w:t>
      </w:r>
    </w:p>
    <w:p w14:paraId="4349345E" w14:textId="10875FB0" w:rsidR="00A372E4" w:rsidRPr="00A372E4" w:rsidRDefault="00A372E4" w:rsidP="00066971">
      <w:pPr>
        <w:spacing w:line="240" w:lineRule="auto"/>
        <w:rPr>
          <w:rFonts w:ascii="Times New Roman" w:eastAsia="Times New Roman" w:hAnsi="Times New Roman" w:cs="Times New Roman"/>
          <w:lang w:eastAsia="ca-ES"/>
        </w:rPr>
      </w:pPr>
      <w:r w:rsidRPr="00A372E4">
        <w:rPr>
          <w:rFonts w:ascii="Times New Roman" w:eastAsia="Times New Roman" w:hAnsi="Times New Roman" w:cs="Times New Roman"/>
          <w:lang w:eastAsia="ca-ES"/>
        </w:rPr>
        <w:t>(Molt resumit.)</w:t>
      </w:r>
    </w:p>
    <w:p w14:paraId="3CE95B26" w14:textId="77777777" w:rsidR="009423E3" w:rsidRDefault="008343B0" w:rsidP="009423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ca-ES"/>
        </w:rPr>
      </w:pPr>
      <w:r w:rsidRPr="00387A8C">
        <w:rPr>
          <w:rFonts w:asciiTheme="minorHAnsi" w:eastAsia="Times New Roman" w:hAnsiTheme="minorHAnsi" w:cstheme="minorHAnsi"/>
          <w:lang w:val="es-ES" w:eastAsia="ca-ES"/>
        </w:rPr>
        <w:t>Médicos Sin Fronteras (MSF) advierte en un nuevo informe publicado hoy de l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a falta de apoyo para las personas supervivientes de violencia sexual en la República Democrática del Congo (RDC)</w:t>
      </w:r>
      <w:r w:rsidRPr="00387A8C">
        <w:rPr>
          <w:rFonts w:asciiTheme="minorHAnsi" w:eastAsia="Times New Roman" w:hAnsiTheme="minorHAnsi" w:cstheme="minorHAnsi"/>
          <w:lang w:val="es-ES" w:eastAsia="ca-ES"/>
        </w:rPr>
        <w:t>. Dada su escala e impacto,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MSF pide a las autoridades congoleñas y a sus socios que actúen de inmediato</w:t>
      </w:r>
      <w:r w:rsidRPr="00387A8C">
        <w:rPr>
          <w:rFonts w:asciiTheme="minorHAnsi" w:eastAsia="Times New Roman" w:hAnsiTheme="minorHAnsi" w:cstheme="minorHAnsi"/>
          <w:lang w:val="es-ES" w:eastAsia="ca-ES"/>
        </w:rPr>
        <w:t> para responder a las enormes necesidades médicas, legales, socioeconómicas y de protección consta</w:t>
      </w:r>
      <w:r w:rsidR="00387A8C" w:rsidRPr="00387A8C">
        <w:rPr>
          <w:rFonts w:asciiTheme="minorHAnsi" w:eastAsia="Times New Roman" w:hAnsiTheme="minorHAnsi" w:cstheme="minorHAnsi"/>
          <w:lang w:val="es-ES" w:eastAsia="ca-ES"/>
        </w:rPr>
        <w:t>ta</w:t>
      </w:r>
      <w:r w:rsidRPr="00387A8C">
        <w:rPr>
          <w:rFonts w:asciiTheme="minorHAnsi" w:eastAsia="Times New Roman" w:hAnsiTheme="minorHAnsi" w:cstheme="minorHAnsi"/>
          <w:lang w:val="es-ES" w:eastAsia="ca-ES"/>
        </w:rPr>
        <w:t>das por la organización médico-humanitaria.</w:t>
      </w:r>
    </w:p>
    <w:p w14:paraId="6BF188F6" w14:textId="43DD88A0" w:rsidR="009423E3" w:rsidRDefault="008343B0" w:rsidP="009423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ca-ES"/>
        </w:rPr>
      </w:pPr>
      <w:r w:rsidRPr="00387A8C">
        <w:rPr>
          <w:rFonts w:asciiTheme="minorHAnsi" w:eastAsia="Times New Roman" w:hAnsiTheme="minorHAnsi" w:cstheme="minorHAnsi"/>
          <w:lang w:val="es-ES" w:eastAsia="ca-ES"/>
        </w:rPr>
        <w:t>Las cifras son de una magnitud colosal. En 2020,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cerca de 11.000 supervivientes de violencia sexual fueron atendidas con el apoyo de equipos de MSF en </w:t>
      </w:r>
      <w:r w:rsidR="0002442A">
        <w:rPr>
          <w:rFonts w:asciiTheme="minorHAnsi" w:eastAsia="Times New Roman" w:hAnsiTheme="minorHAnsi" w:cstheme="minorHAnsi"/>
          <w:b/>
          <w:bCs/>
          <w:lang w:val="es-ES" w:eastAsia="ca-ES"/>
        </w:rPr>
        <w:t>6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 de las 26 provincias de la RDC</w:t>
      </w:r>
      <w:r w:rsidRPr="00387A8C">
        <w:rPr>
          <w:rFonts w:asciiTheme="minorHAnsi" w:eastAsia="Times New Roman" w:hAnsiTheme="minorHAnsi" w:cstheme="minorHAnsi"/>
          <w:lang w:val="es-ES" w:eastAsia="ca-ES"/>
        </w:rPr>
        <w:t>, lo que constituye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una media de 30 personas al día</w:t>
      </w:r>
      <w:r w:rsidRPr="00387A8C">
        <w:rPr>
          <w:rFonts w:asciiTheme="minorHAnsi" w:eastAsia="Times New Roman" w:hAnsiTheme="minorHAnsi" w:cstheme="minorHAnsi"/>
          <w:lang w:val="es-ES" w:eastAsia="ca-ES"/>
        </w:rPr>
        <w:t>. Sin embargo, es solo la punta del iceberg.</w:t>
      </w:r>
    </w:p>
    <w:p w14:paraId="58097992" w14:textId="77777777" w:rsidR="006E5520" w:rsidRDefault="008343B0" w:rsidP="009423E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s-ES" w:eastAsia="ca-ES"/>
        </w:rPr>
      </w:pPr>
      <w:r w:rsidRPr="00387A8C">
        <w:rPr>
          <w:rFonts w:asciiTheme="minorHAnsi" w:eastAsia="Times New Roman" w:hAnsiTheme="minorHAnsi" w:cstheme="minorHAnsi"/>
          <w:lang w:val="es-ES" w:eastAsia="ca-ES"/>
        </w:rPr>
        <w:t>Así sucede en Salamabila, una ciudad de 71.000 habitantes ubicada en la región minera de la provincia de Maniema</w:t>
      </w:r>
      <w:r w:rsidR="006E5520">
        <w:rPr>
          <w:rFonts w:asciiTheme="minorHAnsi" w:eastAsia="Times New Roman" w:hAnsiTheme="minorHAnsi" w:cstheme="minorHAnsi"/>
          <w:lang w:val="es-ES" w:eastAsia="ca-ES"/>
        </w:rPr>
        <w:t>,</w:t>
      </w:r>
      <w:r w:rsidRPr="00387A8C">
        <w:rPr>
          <w:rFonts w:asciiTheme="minorHAnsi" w:eastAsia="Times New Roman" w:hAnsiTheme="minorHAnsi" w:cstheme="minorHAnsi"/>
          <w:lang w:val="es-ES" w:eastAsia="ca-ES"/>
        </w:rPr>
        <w:t xml:space="preserve"> donde la prevalencia de la violencia sexual es alarmante.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Cada mes, los equipos de MSF atienden una media de entre 120 y 150 pacientes que han sufrido una agresión sexual.</w:t>
      </w:r>
      <w:r w:rsidR="006E5520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 </w:t>
      </w:r>
    </w:p>
    <w:p w14:paraId="0391B7E3" w14:textId="77777777" w:rsidR="006E5520" w:rsidRDefault="006E5520" w:rsidP="009423E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s-ES" w:eastAsia="ca-ES"/>
        </w:rPr>
      </w:pPr>
    </w:p>
    <w:p w14:paraId="7B2B763A" w14:textId="41288D5B" w:rsidR="008343B0" w:rsidRPr="009423E3" w:rsidRDefault="008343B0" w:rsidP="00942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ca-ES"/>
        </w:rPr>
      </w:pP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Los datos recopilados por MSF</w:t>
      </w:r>
      <w:r w:rsidRPr="00387A8C">
        <w:rPr>
          <w:rFonts w:asciiTheme="minorHAnsi" w:eastAsia="Times New Roman" w:hAnsiTheme="minorHAnsi" w:cstheme="minorHAnsi"/>
          <w:lang w:val="es-ES" w:eastAsia="ca-ES"/>
        </w:rPr>
        <w:t> en 2020 muestran un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panorama profundamente preocupante respecto a</w:t>
      </w:r>
      <w:r w:rsidR="00633532">
        <w:rPr>
          <w:rFonts w:asciiTheme="minorHAnsi" w:eastAsia="Times New Roman" w:hAnsiTheme="minorHAnsi" w:cstheme="minorHAnsi"/>
          <w:b/>
          <w:bCs/>
          <w:lang w:val="es-ES" w:eastAsia="ca-ES"/>
        </w:rPr>
        <w:t>l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 estado físico y psicológico</w:t>
      </w:r>
      <w:r w:rsidR="00633532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 de las pacientes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: infecciones, embarazos no deseados, lesiones física</w:t>
      </w:r>
      <w:r w:rsidRPr="006E5520">
        <w:rPr>
          <w:rFonts w:asciiTheme="minorHAnsi" w:eastAsia="Times New Roman" w:hAnsiTheme="minorHAnsi" w:cstheme="minorHAnsi"/>
          <w:b/>
          <w:bCs/>
          <w:lang w:val="es-ES" w:eastAsia="ca-ES"/>
        </w:rPr>
        <w:t>s</w:t>
      </w:r>
      <w:r w:rsidRPr="00387A8C">
        <w:rPr>
          <w:rFonts w:asciiTheme="minorHAnsi" w:eastAsia="Times New Roman" w:hAnsiTheme="minorHAnsi" w:cstheme="minorHAnsi"/>
          <w:lang w:val="es-ES" w:eastAsia="ca-ES"/>
        </w:rPr>
        <w:t xml:space="preserve"> derivadas de la violencia;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traumas psicológicos graves</w:t>
      </w:r>
      <w:r w:rsidRPr="00387A8C">
        <w:rPr>
          <w:rFonts w:asciiTheme="minorHAnsi" w:eastAsia="Times New Roman" w:hAnsiTheme="minorHAnsi" w:cstheme="minorHAnsi"/>
          <w:lang w:val="es-ES" w:eastAsia="ca-ES"/>
        </w:rPr>
        <w:t>, incluso entre los 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menores de edad</w:t>
      </w:r>
      <w:r w:rsidR="00387A8C"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>,</w:t>
      </w:r>
      <w:r w:rsidRPr="00387A8C">
        <w:rPr>
          <w:rFonts w:asciiTheme="minorHAnsi" w:eastAsia="Times New Roman" w:hAnsiTheme="minorHAnsi" w:cstheme="minorHAnsi"/>
          <w:b/>
          <w:bCs/>
          <w:lang w:val="es-ES" w:eastAsia="ca-ES"/>
        </w:rPr>
        <w:t xml:space="preserve"> que representaron una quinta parte de los pacientes</w:t>
      </w:r>
      <w:r w:rsidRPr="00387A8C">
        <w:rPr>
          <w:rFonts w:asciiTheme="minorHAnsi" w:eastAsia="Times New Roman" w:hAnsiTheme="minorHAnsi" w:cstheme="minorHAnsi"/>
          <w:lang w:val="es-ES" w:eastAsia="ca-ES"/>
        </w:rPr>
        <w:t> tratados por MSF en 2020.</w:t>
      </w:r>
    </w:p>
    <w:p w14:paraId="43438204" w14:textId="260FF3CF" w:rsidR="008343B0" w:rsidRPr="008343B0" w:rsidRDefault="008343B0" w:rsidP="008343B0">
      <w:pPr>
        <w:spacing w:after="0" w:line="240" w:lineRule="auto"/>
        <w:jc w:val="right"/>
        <w:rPr>
          <w:rFonts w:ascii="lato" w:eastAsia="Times New Roman" w:hAnsi="lato" w:cs="Times New Roman"/>
          <w:color w:val="828384"/>
          <w:lang w:eastAsia="ca-ES"/>
        </w:rPr>
      </w:pPr>
    </w:p>
    <w:sectPr w:rsidR="008343B0" w:rsidRPr="008343B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DF0"/>
    <w:multiLevelType w:val="multilevel"/>
    <w:tmpl w:val="A76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D5743"/>
    <w:multiLevelType w:val="multilevel"/>
    <w:tmpl w:val="FF4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15675F"/>
    <w:multiLevelType w:val="multilevel"/>
    <w:tmpl w:val="FCE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B0"/>
    <w:rsid w:val="0002442A"/>
    <w:rsid w:val="00066971"/>
    <w:rsid w:val="0010086E"/>
    <w:rsid w:val="00282EE0"/>
    <w:rsid w:val="00387A8C"/>
    <w:rsid w:val="004335DD"/>
    <w:rsid w:val="00633532"/>
    <w:rsid w:val="006B0798"/>
    <w:rsid w:val="006E5520"/>
    <w:rsid w:val="00711239"/>
    <w:rsid w:val="007B6D18"/>
    <w:rsid w:val="008032D4"/>
    <w:rsid w:val="008343B0"/>
    <w:rsid w:val="009423E3"/>
    <w:rsid w:val="00A372E4"/>
    <w:rsid w:val="00A67C9F"/>
    <w:rsid w:val="00AD767D"/>
    <w:rsid w:val="00B05B11"/>
    <w:rsid w:val="00D30CA8"/>
    <w:rsid w:val="00D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F706"/>
  <w15:chartTrackingRefBased/>
  <w15:docId w15:val="{CB5D7AC1-1A60-41CA-8983-93FA47E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1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4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085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2165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3113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69136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897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60188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2544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9352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4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19899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6776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0935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2258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5696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5771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3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2661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1947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7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8400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7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2208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8060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148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6462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9687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4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6671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3649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0109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0920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6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98908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319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3713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4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876">
                  <w:marLeft w:val="-225"/>
                  <w:marRight w:val="-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elion.org/categoria/territorios/africa/" TargetMode="External"/><Relationship Id="rId5" Type="http://schemas.openxmlformats.org/officeDocument/2006/relationships/hyperlink" Target="https://rebelion.org/autor/guillermo-algar-gonzal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15</cp:revision>
  <dcterms:created xsi:type="dcterms:W3CDTF">2021-07-16T20:53:00Z</dcterms:created>
  <dcterms:modified xsi:type="dcterms:W3CDTF">2021-07-19T05:24:00Z</dcterms:modified>
</cp:coreProperties>
</file>