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D0A10" w14:textId="77777777" w:rsidR="005F4B07" w:rsidRPr="005F4B07" w:rsidRDefault="005F4B07" w:rsidP="005F4B07">
      <w:pPr>
        <w:shd w:val="clear" w:color="auto" w:fill="FFFFFF"/>
        <w:spacing w:after="0" w:line="288" w:lineRule="atLeast"/>
        <w:jc w:val="both"/>
        <w:outlineLvl w:val="0"/>
        <w:rPr>
          <w:rFonts w:asciiTheme="minorHAnsi" w:eastAsia="Times New Roman" w:hAnsiTheme="minorHAnsi" w:cstheme="minorHAnsi"/>
          <w:caps/>
          <w:color w:val="000000"/>
          <w:spacing w:val="72"/>
          <w:kern w:val="36"/>
          <w:bdr w:val="none" w:sz="0" w:space="0" w:color="auto" w:frame="1"/>
          <w:lang w:val="es-ES" w:eastAsia="ca-ES"/>
        </w:rPr>
      </w:pPr>
      <w:r w:rsidRPr="005F4B07">
        <w:rPr>
          <w:rFonts w:asciiTheme="minorHAnsi" w:eastAsia="Times New Roman" w:hAnsiTheme="minorHAnsi" w:cstheme="minorHAnsi"/>
          <w:caps/>
          <w:color w:val="000000"/>
          <w:spacing w:val="72"/>
          <w:kern w:val="36"/>
          <w:bdr w:val="none" w:sz="0" w:space="0" w:color="auto" w:frame="1"/>
          <w:lang w:val="es-ES" w:eastAsia="ca-ES"/>
        </w:rPr>
        <w:t>MUJER E IGUALDAD, y 5</w:t>
      </w:r>
    </w:p>
    <w:p w14:paraId="7707B657" w14:textId="77777777" w:rsidR="005F4B07" w:rsidRPr="005F4B07" w:rsidRDefault="005F4B07" w:rsidP="005F4B07">
      <w:pPr>
        <w:shd w:val="clear" w:color="auto" w:fill="FFFFFF"/>
        <w:spacing w:after="0" w:line="288" w:lineRule="atLeast"/>
        <w:jc w:val="both"/>
        <w:outlineLvl w:val="0"/>
        <w:rPr>
          <w:rFonts w:asciiTheme="minorHAnsi" w:eastAsia="Times New Roman" w:hAnsiTheme="minorHAnsi" w:cstheme="minorHAnsi"/>
          <w:b/>
          <w:bCs/>
          <w:color w:val="000000"/>
          <w:kern w:val="36"/>
          <w:lang w:val="es-ES" w:eastAsia="ca-ES"/>
        </w:rPr>
      </w:pPr>
      <w:r w:rsidRPr="005F4B07">
        <w:rPr>
          <w:rFonts w:asciiTheme="minorHAnsi" w:eastAsia="Times New Roman" w:hAnsiTheme="minorHAnsi" w:cstheme="minorHAnsi"/>
          <w:b/>
          <w:bCs/>
          <w:color w:val="000000"/>
          <w:kern w:val="36"/>
          <w:lang w:val="es-ES" w:eastAsia="ca-ES"/>
        </w:rPr>
        <w:t>Nueve mujeres ignoradas u olvidadas que dieron esplendor a Madrid</w:t>
      </w:r>
    </w:p>
    <w:p w14:paraId="7DEB2016" w14:textId="77777777" w:rsidR="005F4B07" w:rsidRPr="005F4B07" w:rsidRDefault="005F4B07" w:rsidP="005F4B07">
      <w:pPr>
        <w:shd w:val="clear" w:color="auto" w:fill="FFFFFF"/>
        <w:spacing w:after="0" w:line="288" w:lineRule="atLeast"/>
        <w:jc w:val="both"/>
        <w:outlineLvl w:val="0"/>
        <w:rPr>
          <w:rFonts w:asciiTheme="minorHAnsi" w:eastAsia="Times New Roman" w:hAnsiTheme="minorHAnsi" w:cstheme="minorHAnsi"/>
          <w:b/>
          <w:bCs/>
          <w:color w:val="000000"/>
          <w:kern w:val="36"/>
          <w:lang w:val="es-ES" w:eastAsia="ca-ES"/>
        </w:rPr>
      </w:pPr>
    </w:p>
    <w:p w14:paraId="403AEF31" w14:textId="77777777" w:rsidR="005F4B07" w:rsidRPr="005F4B07" w:rsidRDefault="005F4B07" w:rsidP="005F4B07">
      <w:pPr>
        <w:shd w:val="clear" w:color="auto" w:fill="FFFFFF"/>
        <w:spacing w:after="0" w:line="360" w:lineRule="atLeast"/>
        <w:jc w:val="both"/>
        <w:outlineLvl w:val="1"/>
        <w:rPr>
          <w:rFonts w:asciiTheme="minorHAnsi" w:eastAsia="Times New Roman" w:hAnsiTheme="minorHAnsi" w:cstheme="minorHAnsi"/>
          <w:color w:val="000000"/>
          <w:lang w:val="es-ES" w:eastAsia="ca-ES"/>
        </w:rPr>
      </w:pPr>
      <w:r w:rsidRPr="005F4B07">
        <w:rPr>
          <w:rFonts w:asciiTheme="minorHAnsi" w:eastAsia="Times New Roman" w:hAnsiTheme="minorHAnsi" w:cstheme="minorHAnsi"/>
          <w:color w:val="000000"/>
          <w:lang w:val="es-ES" w:eastAsia="ca-ES"/>
        </w:rPr>
        <w:t xml:space="preserve">Sara Medialdea rescata en </w:t>
      </w:r>
      <w:r w:rsidRPr="001851AE">
        <w:rPr>
          <w:rFonts w:asciiTheme="minorHAnsi" w:eastAsia="Times New Roman" w:hAnsiTheme="minorHAnsi" w:cstheme="minorHAnsi"/>
          <w:b/>
          <w:bCs/>
          <w:color w:val="000000"/>
          <w:lang w:val="es-ES" w:eastAsia="ca-ES"/>
        </w:rPr>
        <w:t>“Mujeres y madrileñas”</w:t>
      </w:r>
      <w:r w:rsidRPr="005F4B07">
        <w:rPr>
          <w:rFonts w:asciiTheme="minorHAnsi" w:eastAsia="Times New Roman" w:hAnsiTheme="minorHAnsi" w:cstheme="minorHAnsi"/>
          <w:color w:val="000000"/>
          <w:lang w:val="es-ES" w:eastAsia="ca-ES"/>
        </w:rPr>
        <w:t xml:space="preserve"> a personajes ilustres cuya labor no fue suficientemente reconocida.</w:t>
      </w:r>
    </w:p>
    <w:p w14:paraId="2FF706BD" w14:textId="77777777" w:rsidR="005F4B07" w:rsidRPr="00A8274D" w:rsidRDefault="005F4B07" w:rsidP="005F4B07">
      <w:pPr>
        <w:shd w:val="clear" w:color="auto" w:fill="FFFFFF"/>
        <w:spacing w:before="450" w:after="225" w:line="312" w:lineRule="atLeast"/>
        <w:jc w:val="both"/>
        <w:outlineLvl w:val="1"/>
        <w:rPr>
          <w:rFonts w:asciiTheme="minorHAnsi" w:eastAsia="Times New Roman" w:hAnsiTheme="minorHAnsi" w:cstheme="minorHAnsi"/>
          <w:b/>
          <w:bCs/>
          <w:color w:val="000000"/>
          <w:sz w:val="28"/>
          <w:szCs w:val="28"/>
          <w:lang w:val="es-ES" w:eastAsia="ca-ES"/>
        </w:rPr>
      </w:pPr>
      <w:r w:rsidRPr="00A8274D">
        <w:rPr>
          <w:rFonts w:asciiTheme="minorHAnsi" w:eastAsia="Times New Roman" w:hAnsiTheme="minorHAnsi" w:cstheme="minorHAnsi"/>
          <w:b/>
          <w:bCs/>
          <w:color w:val="000000"/>
          <w:sz w:val="28"/>
          <w:szCs w:val="28"/>
          <w:lang w:val="es-ES" w:eastAsia="ca-ES"/>
        </w:rPr>
        <w:t>Ramona Aparicio Rodríguez</w:t>
      </w:r>
    </w:p>
    <w:p w14:paraId="32CA55A1" w14:textId="77777777" w:rsidR="005F4B07" w:rsidRPr="00017914" w:rsidRDefault="005F4B07" w:rsidP="005F4B07">
      <w:pPr>
        <w:shd w:val="clear" w:color="auto" w:fill="FFFFFF"/>
        <w:spacing w:after="300" w:line="408" w:lineRule="atLeast"/>
        <w:jc w:val="both"/>
        <w:rPr>
          <w:rFonts w:asciiTheme="minorHAnsi" w:eastAsia="Times New Roman" w:hAnsiTheme="minorHAnsi" w:cstheme="minorHAnsi"/>
          <w:color w:val="000000"/>
          <w:lang w:val="es-ES" w:eastAsia="ca-ES"/>
        </w:rPr>
      </w:pPr>
      <w:r w:rsidRPr="00017914">
        <w:rPr>
          <w:rFonts w:asciiTheme="minorHAnsi" w:eastAsia="Times New Roman" w:hAnsiTheme="minorHAnsi" w:cstheme="minorHAnsi"/>
          <w:color w:val="000000"/>
          <w:lang w:val="es-ES" w:eastAsia="ca-ES"/>
        </w:rPr>
        <w:t>La primera directora de la Escuela Normal Central de Maestras estaba convencida de que la educación de la mujer conllevaría el avance en sus derechos. Gran figura de la pedagogía femenina, en el centro de Ramona Aparicio (Madrid, 1808 - 1881) se estudiaba gramática castellana y se leía en prosa y en verso, pero también había una asignatura de métodos de enseñanza.</w:t>
      </w:r>
    </w:p>
    <w:p w14:paraId="1743DA95" w14:textId="77777777" w:rsidR="005F4B07" w:rsidRPr="00017914" w:rsidRDefault="005F4B07" w:rsidP="005F4B07">
      <w:pPr>
        <w:shd w:val="clear" w:color="auto" w:fill="FFFFFF"/>
        <w:spacing w:after="300" w:line="408" w:lineRule="atLeast"/>
        <w:jc w:val="both"/>
        <w:rPr>
          <w:rFonts w:asciiTheme="minorHAnsi" w:eastAsia="Times New Roman" w:hAnsiTheme="minorHAnsi" w:cstheme="minorHAnsi"/>
          <w:color w:val="000000"/>
          <w:lang w:val="es-ES" w:eastAsia="ca-ES"/>
        </w:rPr>
      </w:pPr>
      <w:r w:rsidRPr="00017914">
        <w:rPr>
          <w:rFonts w:asciiTheme="minorHAnsi" w:eastAsia="Times New Roman" w:hAnsiTheme="minorHAnsi" w:cstheme="minorHAnsi"/>
          <w:color w:val="000000"/>
          <w:lang w:val="es-ES" w:eastAsia="ca-ES"/>
        </w:rPr>
        <w:t>"Tenía claro que había que formar a las chicas, aunque también a las maestras. Ella misma fue alumna de la Escuela Lancasteriana, cuyas alumnas más aventajadas se encargaban de enseñar a las otras, lo que les suponía una entrada en el mundo de la pedagogía", explica la periodista.</w:t>
      </w:r>
    </w:p>
    <w:p w14:paraId="2125387C" w14:textId="24CAD6D5" w:rsidR="005F4B07" w:rsidRDefault="005F4B07" w:rsidP="005F4B07">
      <w:pPr>
        <w:shd w:val="clear" w:color="auto" w:fill="FFFFFF"/>
        <w:spacing w:after="300" w:line="408" w:lineRule="atLeast"/>
        <w:jc w:val="both"/>
        <w:rPr>
          <w:rFonts w:asciiTheme="minorHAnsi" w:eastAsia="Times New Roman" w:hAnsiTheme="minorHAnsi" w:cstheme="minorHAnsi"/>
          <w:color w:val="000000"/>
          <w:lang w:val="es-ES" w:eastAsia="ca-ES"/>
        </w:rPr>
      </w:pPr>
      <w:r w:rsidRPr="00017914">
        <w:rPr>
          <w:rFonts w:asciiTheme="minorHAnsi" w:eastAsia="Times New Roman" w:hAnsiTheme="minorHAnsi" w:cstheme="minorHAnsi"/>
          <w:color w:val="000000"/>
          <w:lang w:val="es-ES" w:eastAsia="ca-ES"/>
        </w:rPr>
        <w:t>Una enseñanza en cadena (profesoras - alumnas destacadas - alumnas) que Ramona Aparici</w:t>
      </w:r>
      <w:r w:rsidRPr="000918A8">
        <w:rPr>
          <w:rFonts w:asciiTheme="minorHAnsi" w:eastAsia="Times New Roman" w:hAnsiTheme="minorHAnsi" w:cstheme="minorHAnsi"/>
          <w:color w:val="000000"/>
          <w:lang w:val="es-ES" w:eastAsia="ca-ES"/>
        </w:rPr>
        <w:t>o</w:t>
      </w:r>
      <w:r w:rsidRPr="00017914">
        <w:rPr>
          <w:rFonts w:asciiTheme="minorHAnsi" w:eastAsia="Times New Roman" w:hAnsiTheme="minorHAnsi" w:cstheme="minorHAnsi"/>
          <w:color w:val="000000"/>
          <w:lang w:val="es-ES" w:eastAsia="ca-ES"/>
        </w:rPr>
        <w:t xml:space="preserve"> experimentó en carne propia, pues había estado matriculada como estudiante en el centro de inspiración inglesa. "Ella vio desde muy pronto el potencial de la educación en las mujeres y a esa labor encomendó su vida".</w:t>
      </w:r>
    </w:p>
    <w:p w14:paraId="14A0676C" w14:textId="2CAD433B" w:rsidR="00C71C0A" w:rsidRPr="00017914" w:rsidRDefault="00C71C0A" w:rsidP="005F4B07">
      <w:pPr>
        <w:shd w:val="clear" w:color="auto" w:fill="FFFFFF"/>
        <w:spacing w:after="300" w:line="408" w:lineRule="atLeast"/>
        <w:jc w:val="both"/>
        <w:rPr>
          <w:rFonts w:asciiTheme="minorHAnsi" w:eastAsia="Times New Roman" w:hAnsiTheme="minorHAnsi" w:cstheme="minorHAnsi"/>
          <w:color w:val="000000"/>
          <w:lang w:val="es-ES" w:eastAsia="ca-ES"/>
        </w:rPr>
      </w:pPr>
      <w:r>
        <w:rPr>
          <w:rFonts w:asciiTheme="minorHAnsi" w:eastAsia="Times New Roman" w:hAnsiTheme="minorHAnsi" w:cstheme="minorHAnsi"/>
          <w:color w:val="000000"/>
          <w:lang w:val="es-ES" w:eastAsia="ca-ES"/>
        </w:rPr>
        <w:t>(Final de la serie sobre Las Madrileñas)</w:t>
      </w:r>
    </w:p>
    <w:p w14:paraId="12E49D30" w14:textId="509701BE" w:rsidR="0010086E" w:rsidRDefault="00453B12">
      <w:r>
        <w:t>______________________________________________</w:t>
      </w:r>
    </w:p>
    <w:p w14:paraId="2E1B86B7" w14:textId="77777777" w:rsidR="002F3D7A" w:rsidRPr="001851AE" w:rsidRDefault="002F3D7A" w:rsidP="002F3D7A">
      <w:pPr>
        <w:shd w:val="clear" w:color="auto" w:fill="FFFFFF"/>
        <w:spacing w:after="0" w:line="601" w:lineRule="atLeast"/>
        <w:outlineLvl w:val="0"/>
        <w:rPr>
          <w:rFonts w:asciiTheme="minorHAnsi" w:eastAsia="Times New Roman" w:hAnsiTheme="minorHAnsi" w:cstheme="minorHAnsi"/>
          <w:kern w:val="36"/>
          <w:lang w:val="es-ES" w:eastAsia="ca-ES"/>
        </w:rPr>
      </w:pPr>
      <w:r w:rsidRPr="001851AE">
        <w:rPr>
          <w:rFonts w:asciiTheme="minorHAnsi" w:eastAsia="Times New Roman" w:hAnsiTheme="minorHAnsi" w:cstheme="minorHAnsi"/>
          <w:b/>
          <w:bCs/>
          <w:color w:val="006699"/>
          <w:kern w:val="36"/>
          <w:sz w:val="32"/>
          <w:szCs w:val="32"/>
          <w:lang w:val="es-ES" w:eastAsia="ca-ES"/>
        </w:rPr>
        <w:t>Colombia arde</w:t>
      </w:r>
      <w:r w:rsidRPr="002F3D7A">
        <w:rPr>
          <w:rFonts w:asciiTheme="minorHAnsi" w:eastAsia="Times New Roman" w:hAnsiTheme="minorHAnsi" w:cstheme="minorHAnsi"/>
          <w:color w:val="006699"/>
          <w:kern w:val="36"/>
          <w:lang w:val="es-ES" w:eastAsia="ca-ES"/>
        </w:rPr>
        <w:t xml:space="preserve">: </w:t>
      </w:r>
      <w:r w:rsidRPr="001851AE">
        <w:rPr>
          <w:rFonts w:asciiTheme="minorHAnsi" w:eastAsia="Times New Roman" w:hAnsiTheme="minorHAnsi" w:cstheme="minorHAnsi"/>
          <w:kern w:val="36"/>
          <w:lang w:val="es-ES" w:eastAsia="ca-ES"/>
        </w:rPr>
        <w:t>No es por «reforma tributaria», es por hambre y dignidad</w:t>
      </w:r>
    </w:p>
    <w:p w14:paraId="710BDD17" w14:textId="77777777" w:rsidR="002F3D7A" w:rsidRPr="002F3D7A" w:rsidRDefault="002F3D7A" w:rsidP="002F3D7A">
      <w:pPr>
        <w:shd w:val="clear" w:color="auto" w:fill="FFFFFF"/>
        <w:spacing w:after="0" w:line="240" w:lineRule="auto"/>
        <w:jc w:val="right"/>
        <w:rPr>
          <w:rFonts w:asciiTheme="minorHAnsi" w:eastAsia="Times New Roman" w:hAnsiTheme="minorHAnsi" w:cstheme="minorHAnsi"/>
          <w:color w:val="272727"/>
          <w:lang w:eastAsia="ca-ES"/>
        </w:rPr>
      </w:pPr>
    </w:p>
    <w:p w14:paraId="6F2DA78D" w14:textId="77777777" w:rsidR="002F3D7A" w:rsidRPr="002F3D7A" w:rsidRDefault="002F3D7A" w:rsidP="002F3D7A">
      <w:pPr>
        <w:shd w:val="clear" w:color="auto" w:fill="FFFFFF"/>
        <w:spacing w:after="0" w:line="240" w:lineRule="auto"/>
        <w:rPr>
          <w:rFonts w:asciiTheme="minorHAnsi" w:eastAsia="Times New Roman" w:hAnsiTheme="minorHAnsi" w:cstheme="minorHAnsi"/>
          <w:color w:val="333333"/>
          <w:lang w:eastAsia="ca-ES"/>
        </w:rPr>
      </w:pPr>
      <w:r w:rsidRPr="002F3D7A">
        <w:rPr>
          <w:rFonts w:asciiTheme="minorHAnsi" w:eastAsia="Times New Roman" w:hAnsiTheme="minorHAnsi" w:cstheme="minorHAnsi"/>
          <w:color w:val="333333"/>
          <w:lang w:eastAsia="ca-ES"/>
        </w:rPr>
        <w:t>Por </w:t>
      </w:r>
      <w:hyperlink r:id="rId4" w:history="1">
        <w:r w:rsidRPr="002F3D7A">
          <w:rPr>
            <w:rFonts w:asciiTheme="minorHAnsi" w:eastAsia="Times New Roman" w:hAnsiTheme="minorHAnsi" w:cstheme="minorHAnsi"/>
            <w:b/>
            <w:bCs/>
            <w:color w:val="337AB7"/>
            <w:lang w:eastAsia="ca-ES"/>
          </w:rPr>
          <w:t xml:space="preserve">Hernando Calvo </w:t>
        </w:r>
        <w:proofErr w:type="spellStart"/>
        <w:r w:rsidRPr="002F3D7A">
          <w:rPr>
            <w:rFonts w:asciiTheme="minorHAnsi" w:eastAsia="Times New Roman" w:hAnsiTheme="minorHAnsi" w:cstheme="minorHAnsi"/>
            <w:b/>
            <w:bCs/>
            <w:color w:val="337AB7"/>
            <w:lang w:eastAsia="ca-ES"/>
          </w:rPr>
          <w:t>Ospina</w:t>
        </w:r>
        <w:proofErr w:type="spellEnd"/>
      </w:hyperlink>
      <w:r w:rsidRPr="002F3D7A">
        <w:rPr>
          <w:rFonts w:asciiTheme="minorHAnsi" w:eastAsia="Times New Roman" w:hAnsiTheme="minorHAnsi" w:cstheme="minorHAnsi"/>
          <w:color w:val="333333"/>
          <w:lang w:eastAsia="ca-ES"/>
        </w:rPr>
        <w:t> | </w:t>
      </w:r>
      <w:r w:rsidRPr="002F3D7A">
        <w:rPr>
          <w:rFonts w:asciiTheme="minorHAnsi" w:eastAsia="Times New Roman" w:hAnsiTheme="minorHAnsi" w:cstheme="minorHAnsi"/>
          <w:color w:val="3B5C58"/>
          <w:lang w:eastAsia="ca-ES"/>
        </w:rPr>
        <w:t>06/05/2021</w:t>
      </w:r>
      <w:r w:rsidRPr="002F3D7A">
        <w:rPr>
          <w:rFonts w:asciiTheme="minorHAnsi" w:eastAsia="Times New Roman" w:hAnsiTheme="minorHAnsi" w:cstheme="minorHAnsi"/>
          <w:color w:val="333333"/>
          <w:lang w:eastAsia="ca-ES"/>
        </w:rPr>
        <w:t> | </w:t>
      </w:r>
      <w:proofErr w:type="spellStart"/>
      <w:r w:rsidR="001851AE">
        <w:fldChar w:fldCharType="begin"/>
      </w:r>
      <w:r w:rsidR="001851AE">
        <w:instrText xml:space="preserve"> HYPERLINK "https://rebelion.org/categoria/territorios/america-latina-y-caribe/colombia/" </w:instrText>
      </w:r>
      <w:r w:rsidR="001851AE">
        <w:fldChar w:fldCharType="separate"/>
      </w:r>
      <w:r w:rsidRPr="002F3D7A">
        <w:rPr>
          <w:rFonts w:asciiTheme="minorHAnsi" w:eastAsia="Times New Roman" w:hAnsiTheme="minorHAnsi" w:cstheme="minorHAnsi"/>
          <w:color w:val="337AB7"/>
          <w:u w:val="single"/>
          <w:lang w:eastAsia="ca-ES"/>
        </w:rPr>
        <w:t>Colombia</w:t>
      </w:r>
      <w:proofErr w:type="spellEnd"/>
      <w:r w:rsidR="001851AE">
        <w:rPr>
          <w:rFonts w:asciiTheme="minorHAnsi" w:eastAsia="Times New Roman" w:hAnsiTheme="minorHAnsi" w:cstheme="minorHAnsi"/>
          <w:color w:val="337AB7"/>
          <w:u w:val="single"/>
          <w:lang w:eastAsia="ca-ES"/>
        </w:rPr>
        <w:fldChar w:fldCharType="end"/>
      </w:r>
    </w:p>
    <w:p w14:paraId="4581B127" w14:textId="77777777" w:rsidR="002F3D7A" w:rsidRPr="002F3D7A" w:rsidRDefault="002F3D7A" w:rsidP="002F3D7A">
      <w:pPr>
        <w:shd w:val="clear" w:color="auto" w:fill="FFFFFF"/>
        <w:spacing w:before="100" w:beforeAutospacing="1" w:after="360" w:line="432" w:lineRule="atLeast"/>
        <w:jc w:val="both"/>
        <w:rPr>
          <w:rFonts w:asciiTheme="minorHAnsi" w:eastAsia="Times New Roman" w:hAnsiTheme="minorHAnsi" w:cstheme="minorHAnsi"/>
          <w:color w:val="333333"/>
          <w:lang w:val="es-ES" w:eastAsia="ca-ES"/>
        </w:rPr>
      </w:pPr>
      <w:r w:rsidRPr="002F3D7A">
        <w:rPr>
          <w:rFonts w:asciiTheme="minorHAnsi" w:eastAsia="Times New Roman" w:hAnsiTheme="minorHAnsi" w:cstheme="minorHAnsi"/>
          <w:color w:val="333333"/>
          <w:lang w:val="es-ES" w:eastAsia="ca-ES"/>
        </w:rPr>
        <w:t>Cada presidente colombiano después de 4 años de gobierno deja más muertos y desaparecidos por motivos políticos que todos los que hicieron EN SU CONJUNTO Y DURANTE 16 AÑOS, las dictaduras que instauró Estados Unidos en Chile, Brasil, Uruguay, Paraguay, Bolivia y Argentina. </w:t>
      </w:r>
    </w:p>
    <w:p w14:paraId="1B75F26C" w14:textId="77777777" w:rsidR="002F3D7A" w:rsidRPr="002F3D7A" w:rsidRDefault="002F3D7A" w:rsidP="002F3D7A">
      <w:pPr>
        <w:shd w:val="clear" w:color="auto" w:fill="FFFFFF"/>
        <w:spacing w:before="100" w:beforeAutospacing="1" w:after="360" w:line="432" w:lineRule="atLeast"/>
        <w:jc w:val="both"/>
        <w:rPr>
          <w:rFonts w:asciiTheme="minorHAnsi" w:eastAsia="Times New Roman" w:hAnsiTheme="minorHAnsi" w:cstheme="minorHAnsi"/>
          <w:color w:val="333333"/>
          <w:lang w:val="es-ES" w:eastAsia="ca-ES"/>
        </w:rPr>
      </w:pPr>
      <w:r w:rsidRPr="002F3D7A">
        <w:rPr>
          <w:rFonts w:asciiTheme="minorHAnsi" w:eastAsia="Times New Roman" w:hAnsiTheme="minorHAnsi" w:cstheme="minorHAnsi"/>
          <w:color w:val="333333"/>
          <w:lang w:val="es-ES" w:eastAsia="ca-ES"/>
        </w:rPr>
        <w:lastRenderedPageBreak/>
        <w:t>Desde crematorios hasta criaderos de cocodrilos han sido creados para desaparecer a dirigentes comunitarios. No hay otro país en el mundo donde se hayan encontrado fosas comunes con más de 2000 personas cada una: ni los nazis lo lograron. </w:t>
      </w:r>
    </w:p>
    <w:p w14:paraId="16E1D721" w14:textId="00DE98F6" w:rsidR="002F3D7A" w:rsidRDefault="002F3D7A" w:rsidP="00453B12">
      <w:pPr>
        <w:shd w:val="clear" w:color="auto" w:fill="FFFFFF"/>
        <w:spacing w:before="100" w:beforeAutospacing="1" w:after="0" w:line="432" w:lineRule="atLeast"/>
        <w:jc w:val="both"/>
        <w:rPr>
          <w:rFonts w:asciiTheme="minorHAnsi" w:eastAsia="Times New Roman" w:hAnsiTheme="minorHAnsi" w:cstheme="minorHAnsi"/>
          <w:color w:val="333333"/>
          <w:lang w:val="es-ES" w:eastAsia="ca-ES"/>
        </w:rPr>
      </w:pPr>
      <w:r w:rsidRPr="002F3D7A">
        <w:rPr>
          <w:rFonts w:asciiTheme="minorHAnsi" w:eastAsia="Times New Roman" w:hAnsiTheme="minorHAnsi" w:cstheme="minorHAnsi"/>
          <w:color w:val="333333"/>
          <w:lang w:val="es-ES" w:eastAsia="ca-ES"/>
        </w:rPr>
        <w:t>Los grupos paramilitares hacen parte del régimen colombiano desde hace seis décadas. Perfeccionados por especialistas israelíes, ingleses y estadounidenses en los años ochenta del siglo pasado, fueron y siguen siendo financiados con dinero del narcotráfico. Ellos se encargan de hacer el «trabajo sucio» del ejército y de «limpiar» las zonas campesinas de posibles opositores a las transnacionales y terratenientes, que se apoderan de los inmensos recursos estratégicos. </w:t>
      </w:r>
    </w:p>
    <w:p w14:paraId="769EC372" w14:textId="12E5F555" w:rsidR="00453B12" w:rsidRPr="002F3D7A" w:rsidRDefault="00453B12" w:rsidP="002F3D7A">
      <w:pPr>
        <w:shd w:val="clear" w:color="auto" w:fill="FFFFFF"/>
        <w:spacing w:before="100" w:beforeAutospacing="1" w:after="360" w:line="432" w:lineRule="atLeast"/>
        <w:jc w:val="both"/>
        <w:rPr>
          <w:rFonts w:asciiTheme="minorHAnsi" w:eastAsia="Times New Roman" w:hAnsiTheme="minorHAnsi" w:cstheme="minorHAnsi"/>
          <w:color w:val="333333"/>
          <w:lang w:val="es-ES" w:eastAsia="ca-ES"/>
        </w:rPr>
      </w:pPr>
      <w:r>
        <w:rPr>
          <w:rFonts w:asciiTheme="minorHAnsi" w:eastAsia="Times New Roman" w:hAnsiTheme="minorHAnsi" w:cstheme="minorHAnsi"/>
          <w:color w:val="333333"/>
          <w:lang w:val="es-ES" w:eastAsia="ca-ES"/>
        </w:rPr>
        <w:t>____________________________________________</w:t>
      </w:r>
    </w:p>
    <w:p w14:paraId="7106C1CF" w14:textId="77777777" w:rsidR="002F3D7A" w:rsidRPr="002F3D7A" w:rsidRDefault="002F3D7A" w:rsidP="002F3D7A">
      <w:pPr>
        <w:shd w:val="clear" w:color="auto" w:fill="FFFFFF"/>
        <w:spacing w:after="225" w:line="240" w:lineRule="auto"/>
        <w:rPr>
          <w:rFonts w:asciiTheme="minorHAnsi" w:eastAsia="Times New Roman" w:hAnsiTheme="minorHAnsi" w:cstheme="minorHAnsi"/>
          <w:b/>
          <w:bCs/>
          <w:color w:val="000000"/>
          <w:lang w:eastAsia="ca-ES"/>
        </w:rPr>
      </w:pPr>
      <w:r w:rsidRPr="002F3D7A">
        <w:rPr>
          <w:rFonts w:asciiTheme="minorHAnsi" w:eastAsia="Times New Roman" w:hAnsiTheme="minorHAnsi" w:cstheme="minorHAnsi"/>
          <w:b/>
          <w:bCs/>
          <w:color w:val="000000"/>
          <w:lang w:eastAsia="ca-ES"/>
        </w:rPr>
        <w:t>Nou avanç mèdic</w:t>
      </w:r>
    </w:p>
    <w:p w14:paraId="2B462493" w14:textId="52975395" w:rsidR="002F3D7A" w:rsidRDefault="002F3D7A" w:rsidP="001851AE">
      <w:pPr>
        <w:shd w:val="clear" w:color="auto" w:fill="FFFFFF"/>
        <w:spacing w:after="225" w:line="240" w:lineRule="auto"/>
        <w:jc w:val="both"/>
        <w:rPr>
          <w:rFonts w:asciiTheme="minorHAnsi" w:eastAsia="Times New Roman" w:hAnsiTheme="minorHAnsi" w:cstheme="minorHAnsi"/>
          <w:color w:val="000000"/>
          <w:lang w:eastAsia="ca-ES"/>
        </w:rPr>
      </w:pPr>
      <w:r w:rsidRPr="002F3D7A">
        <w:rPr>
          <w:rFonts w:asciiTheme="minorHAnsi" w:eastAsia="Times New Roman" w:hAnsiTheme="minorHAnsi" w:cstheme="minorHAnsi"/>
          <w:color w:val="000000"/>
          <w:lang w:eastAsia="ca-ES"/>
        </w:rPr>
        <w:t>Un equip d’investigadors de la Universitat RMIT de Melbourne (Austràlia) han desenvolupat un revestiment que extermina fins i tot les </w:t>
      </w:r>
      <w:proofErr w:type="spellStart"/>
      <w:r w:rsidR="001851AE">
        <w:fldChar w:fldCharType="begin"/>
      </w:r>
      <w:r w:rsidR="001851AE">
        <w:instrText xml:space="preserve"> HYPERLINK "https://monplaneta.cat/actualitat/bacteri-trobat-irlanda-podria-solucio-resistencia-als-antibiotics-8427/" </w:instrText>
      </w:r>
      <w:r w:rsidR="001851AE">
        <w:fldChar w:fldCharType="separate"/>
      </w:r>
      <w:r w:rsidRPr="002F3D7A">
        <w:rPr>
          <w:rFonts w:asciiTheme="minorHAnsi" w:eastAsia="Times New Roman" w:hAnsiTheme="minorHAnsi" w:cstheme="minorHAnsi"/>
          <w:b/>
          <w:bCs/>
          <w:color w:val="000000" w:themeColor="text1"/>
          <w:lang w:eastAsia="ca-ES"/>
        </w:rPr>
        <w:t>superbactèries</w:t>
      </w:r>
      <w:proofErr w:type="spellEnd"/>
      <w:r w:rsidR="001851AE">
        <w:rPr>
          <w:rFonts w:asciiTheme="minorHAnsi" w:eastAsia="Times New Roman" w:hAnsiTheme="minorHAnsi" w:cstheme="minorHAnsi"/>
          <w:b/>
          <w:bCs/>
          <w:color w:val="000000" w:themeColor="text1"/>
          <w:lang w:eastAsia="ca-ES"/>
        </w:rPr>
        <w:fldChar w:fldCharType="end"/>
      </w:r>
      <w:r w:rsidRPr="002F3D7A">
        <w:rPr>
          <w:rFonts w:asciiTheme="minorHAnsi" w:eastAsia="Times New Roman" w:hAnsiTheme="minorHAnsi" w:cstheme="minorHAnsi"/>
          <w:color w:val="000000"/>
          <w:lang w:eastAsia="ca-ES"/>
        </w:rPr>
        <w:t> i que es podria fer servir a l’hora d’</w:t>
      </w:r>
      <w:r w:rsidRPr="002F3D7A">
        <w:rPr>
          <w:rFonts w:asciiTheme="minorHAnsi" w:eastAsia="Times New Roman" w:hAnsiTheme="minorHAnsi" w:cstheme="minorHAnsi"/>
          <w:b/>
          <w:bCs/>
          <w:color w:val="000000"/>
          <w:lang w:eastAsia="ca-ES"/>
        </w:rPr>
        <w:t>embenar ferides o col·locar pròtesis</w:t>
      </w:r>
      <w:r w:rsidRPr="002F3D7A">
        <w:rPr>
          <w:rFonts w:asciiTheme="minorHAnsi" w:eastAsia="Times New Roman" w:hAnsiTheme="minorHAnsi" w:cstheme="minorHAnsi"/>
          <w:color w:val="000000"/>
          <w:lang w:eastAsia="ca-ES"/>
        </w:rPr>
        <w:t> per tal de prevenir i tractar infeccions per bacteris o fongs que poden ser molt perilloses i fins i tot causar la mort. Aquest nou material (...)  ha demostrat la seva eficàcia contra un gran nombre de </w:t>
      </w:r>
      <w:hyperlink r:id="rId5" w:history="1">
        <w:r w:rsidRPr="002F3D7A">
          <w:rPr>
            <w:rFonts w:asciiTheme="minorHAnsi" w:eastAsia="Times New Roman" w:hAnsiTheme="minorHAnsi" w:cstheme="minorHAnsi"/>
            <w:b/>
            <w:bCs/>
            <w:color w:val="000000" w:themeColor="text1"/>
            <w:lang w:eastAsia="ca-ES"/>
          </w:rPr>
          <w:t>bacteris resistents als antibiòtics</w:t>
        </w:r>
      </w:hyperlink>
      <w:r w:rsidRPr="002F3D7A">
        <w:rPr>
          <w:rFonts w:asciiTheme="minorHAnsi" w:eastAsia="Times New Roman" w:hAnsiTheme="minorHAnsi" w:cstheme="minorHAnsi"/>
          <w:color w:val="000000" w:themeColor="text1"/>
          <w:lang w:eastAsia="ca-ES"/>
        </w:rPr>
        <w:t> </w:t>
      </w:r>
      <w:r w:rsidRPr="002F3D7A">
        <w:rPr>
          <w:rFonts w:asciiTheme="minorHAnsi" w:eastAsia="Times New Roman" w:hAnsiTheme="minorHAnsi" w:cstheme="minorHAnsi"/>
          <w:color w:val="000000"/>
          <w:lang w:eastAsia="ca-ES"/>
        </w:rPr>
        <w:t>i també contra fongs, alhora que no ha causat cap dany a les cèl·lules humanes. Així doncs, es postula com una ajuda inestimable contra </w:t>
      </w:r>
      <w:r w:rsidRPr="002F3D7A">
        <w:rPr>
          <w:rFonts w:asciiTheme="minorHAnsi" w:eastAsia="Times New Roman" w:hAnsiTheme="minorHAnsi" w:cstheme="minorHAnsi"/>
          <w:b/>
          <w:bCs/>
          <w:color w:val="000000"/>
          <w:lang w:eastAsia="ca-ES"/>
        </w:rPr>
        <w:t>un dels problemes sanitaris més grans a què ens enfrontem</w:t>
      </w:r>
      <w:r w:rsidRPr="002F3D7A">
        <w:rPr>
          <w:rFonts w:asciiTheme="minorHAnsi" w:eastAsia="Times New Roman" w:hAnsiTheme="minorHAnsi" w:cstheme="minorHAnsi"/>
          <w:color w:val="000000"/>
          <w:lang w:eastAsia="ca-ES"/>
        </w:rPr>
        <w:t> a dia d’avui, ja que la resistència als antibiòtics causa la mort d’aproximadament un milió de persones cada any.</w:t>
      </w:r>
    </w:p>
    <w:p w14:paraId="126E5978" w14:textId="039EDCBC" w:rsidR="00453B12" w:rsidRPr="002F3D7A" w:rsidRDefault="00453B12" w:rsidP="002F3D7A">
      <w:pPr>
        <w:shd w:val="clear" w:color="auto" w:fill="FFFFFF"/>
        <w:spacing w:after="225" w:line="240" w:lineRule="auto"/>
        <w:rPr>
          <w:rFonts w:asciiTheme="minorHAnsi" w:eastAsia="Times New Roman" w:hAnsiTheme="minorHAnsi" w:cstheme="minorHAnsi"/>
          <w:color w:val="000000"/>
          <w:lang w:eastAsia="ca-ES"/>
        </w:rPr>
      </w:pPr>
      <w:r>
        <w:rPr>
          <w:rFonts w:asciiTheme="minorHAnsi" w:eastAsia="Times New Roman" w:hAnsiTheme="minorHAnsi" w:cstheme="minorHAnsi"/>
          <w:color w:val="000000"/>
          <w:lang w:eastAsia="ca-ES"/>
        </w:rPr>
        <w:t>_______________________________________________</w:t>
      </w:r>
    </w:p>
    <w:p w14:paraId="431E9993" w14:textId="77777777" w:rsidR="002F3D7A" w:rsidRPr="002F3D7A" w:rsidRDefault="002F3D7A" w:rsidP="002F3D7A">
      <w:pPr>
        <w:shd w:val="clear" w:color="auto" w:fill="FFFFFF"/>
        <w:spacing w:after="0" w:line="240" w:lineRule="auto"/>
        <w:rPr>
          <w:rFonts w:asciiTheme="minorHAnsi" w:eastAsia="Times New Roman" w:hAnsiTheme="minorHAnsi" w:cstheme="minorHAnsi"/>
          <w:b/>
          <w:bCs/>
          <w:color w:val="212529"/>
          <w:lang w:eastAsia="ca-ES"/>
        </w:rPr>
      </w:pPr>
      <w:r w:rsidRPr="002F3D7A">
        <w:rPr>
          <w:rFonts w:asciiTheme="minorHAnsi" w:eastAsia="Times New Roman" w:hAnsiTheme="minorHAnsi" w:cstheme="minorHAnsi"/>
          <w:b/>
          <w:bCs/>
          <w:color w:val="212529"/>
          <w:lang w:eastAsia="ca-ES"/>
        </w:rPr>
        <w:t>Agressivitat d’Agbar</w:t>
      </w:r>
    </w:p>
    <w:p w14:paraId="07F6757F" w14:textId="77777777" w:rsidR="002F3D7A" w:rsidRPr="002F3D7A" w:rsidRDefault="002F3D7A" w:rsidP="001851AE">
      <w:pPr>
        <w:shd w:val="clear" w:color="auto" w:fill="FFFFFF"/>
        <w:spacing w:after="100" w:afterAutospacing="1" w:line="240" w:lineRule="auto"/>
        <w:jc w:val="both"/>
        <w:rPr>
          <w:rFonts w:asciiTheme="minorHAnsi" w:eastAsia="Times New Roman" w:hAnsiTheme="minorHAnsi" w:cstheme="minorHAnsi"/>
          <w:color w:val="212529"/>
          <w:lang w:val="es-ES" w:eastAsia="ca-ES"/>
        </w:rPr>
      </w:pPr>
      <w:r w:rsidRPr="002F3D7A">
        <w:rPr>
          <w:rFonts w:asciiTheme="minorHAnsi" w:eastAsia="Times New Roman" w:hAnsiTheme="minorHAnsi" w:cstheme="minorHAnsi"/>
          <w:b/>
          <w:bCs/>
          <w:color w:val="212529"/>
          <w:lang w:val="es-ES" w:eastAsia="ca-ES"/>
        </w:rPr>
        <w:t>Esta semana, conocíamos que la multinacional Agbar ha interpuesto una nueva demanda contra el gobierno municipal de Barcelona.</w:t>
      </w:r>
      <w:r w:rsidRPr="002F3D7A">
        <w:rPr>
          <w:rFonts w:asciiTheme="minorHAnsi" w:eastAsia="Times New Roman" w:hAnsiTheme="minorHAnsi" w:cstheme="minorHAnsi"/>
          <w:color w:val="212529"/>
          <w:lang w:val="es-ES" w:eastAsia="ca-ES"/>
        </w:rPr>
        <w:t xml:space="preserve"> Una nueva ofensiva judicial que se enmarca en la estrategia de determinados poderes económicos, que nunca han asumido la entrada de los Comunes en el Gobierno de la ciudad y que estaban acostumbrados a hacer y deshacer desde la opacidad, a mandar desde la sombra para continuar especulando, haciendo enormes beneficios con un bien esencial de primera necesidad.</w:t>
      </w:r>
    </w:p>
    <w:p w14:paraId="15063B7E" w14:textId="77777777" w:rsidR="002F3D7A" w:rsidRPr="002F3D7A" w:rsidRDefault="002F3D7A" w:rsidP="001851AE">
      <w:pPr>
        <w:shd w:val="clear" w:color="auto" w:fill="FFFFFF"/>
        <w:spacing w:after="100" w:afterAutospacing="1" w:line="240" w:lineRule="auto"/>
        <w:jc w:val="both"/>
        <w:rPr>
          <w:rFonts w:asciiTheme="minorHAnsi" w:eastAsia="Times New Roman" w:hAnsiTheme="minorHAnsi" w:cstheme="minorHAnsi"/>
          <w:color w:val="212529"/>
          <w:lang w:val="es-ES" w:eastAsia="ca-ES"/>
        </w:rPr>
      </w:pPr>
      <w:r w:rsidRPr="002F3D7A">
        <w:rPr>
          <w:rFonts w:asciiTheme="minorHAnsi" w:eastAsia="Times New Roman" w:hAnsiTheme="minorHAnsi" w:cstheme="minorHAnsi"/>
          <w:color w:val="212529"/>
          <w:lang w:val="es-ES" w:eastAsia="ca-ES"/>
        </w:rPr>
        <w:t xml:space="preserve">En este caso se trata de una denuncia sin fundamento jurídico que impugna todos los estudios y trabajos encargados por el Ayuntamiento relacionados con la gestión del agua, alegando que el Gobierno municipal no es competente en la materia. La recuperación de la gestión pública de este bien es una propuesta conocida y contemplada en el programa electoral de Barcelona en </w:t>
      </w:r>
      <w:proofErr w:type="spellStart"/>
      <w:r w:rsidRPr="002F3D7A">
        <w:rPr>
          <w:rFonts w:asciiTheme="minorHAnsi" w:eastAsia="Times New Roman" w:hAnsiTheme="minorHAnsi" w:cstheme="minorHAnsi"/>
          <w:color w:val="212529"/>
          <w:lang w:val="es-ES" w:eastAsia="ca-ES"/>
        </w:rPr>
        <w:t>Comú</w:t>
      </w:r>
      <w:proofErr w:type="spellEnd"/>
      <w:r w:rsidRPr="002F3D7A">
        <w:rPr>
          <w:rFonts w:asciiTheme="minorHAnsi" w:eastAsia="Times New Roman" w:hAnsiTheme="minorHAnsi" w:cstheme="minorHAnsi"/>
          <w:color w:val="212529"/>
          <w:lang w:val="es-ES" w:eastAsia="ca-ES"/>
        </w:rPr>
        <w:t xml:space="preserve">. </w:t>
      </w:r>
    </w:p>
    <w:p w14:paraId="26AB8B5B" w14:textId="77777777" w:rsidR="005F4B07" w:rsidRDefault="005F4B07"/>
    <w:sectPr w:rsidR="005F4B07"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07"/>
    <w:rsid w:val="0010086E"/>
    <w:rsid w:val="001851AE"/>
    <w:rsid w:val="002F3D7A"/>
    <w:rsid w:val="00453B12"/>
    <w:rsid w:val="005F4B07"/>
    <w:rsid w:val="00A8274D"/>
    <w:rsid w:val="00B05B11"/>
    <w:rsid w:val="00C71C0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4C7E"/>
  <w15:chartTrackingRefBased/>
  <w15:docId w15:val="{8209FF4C-3D00-4411-8765-4B68257B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B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onplaneta.cat/ho-sabies/remei-contra-bacteris-resistents-als-antibiotics-podria-nostres-cuines-12139/" TargetMode="External"/><Relationship Id="rId4" Type="http://schemas.openxmlformats.org/officeDocument/2006/relationships/hyperlink" Target="https://rebelion.org/autor/hernando-calvo-osp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2021-05-09T18:10:00Z</dcterms:created>
  <dcterms:modified xsi:type="dcterms:W3CDTF">2021-05-12T08:48:00Z</dcterms:modified>
</cp:coreProperties>
</file>